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EBB1" w14:textId="0A40ABDB" w:rsidR="007704B3" w:rsidRDefault="00EA54E1" w:rsidP="007704B3">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w:t>
      </w:r>
      <w:r w:rsidR="00266821">
        <w:rPr>
          <w:rFonts w:ascii="Arial" w:eastAsia="Times New Roman" w:hAnsi="Arial" w:cs="Arial"/>
          <w:b/>
          <w:bCs/>
          <w:color w:val="000000"/>
          <w:sz w:val="20"/>
          <w:szCs w:val="20"/>
          <w:lang w:eastAsia="en-GB"/>
        </w:rPr>
        <w:t>3</w:t>
      </w:r>
      <w:r>
        <w:rPr>
          <w:rFonts w:ascii="Arial" w:eastAsia="Times New Roman" w:hAnsi="Arial" w:cs="Arial"/>
          <w:b/>
          <w:bCs/>
          <w:color w:val="000000"/>
          <w:sz w:val="20"/>
          <w:szCs w:val="20"/>
          <w:lang w:eastAsia="en-GB"/>
        </w:rPr>
        <w:t>.</w:t>
      </w:r>
      <w:r w:rsidR="00266821">
        <w:rPr>
          <w:rFonts w:ascii="Arial" w:eastAsia="Times New Roman" w:hAnsi="Arial" w:cs="Arial"/>
          <w:b/>
          <w:bCs/>
          <w:color w:val="000000"/>
          <w:sz w:val="20"/>
          <w:szCs w:val="20"/>
          <w:lang w:eastAsia="en-GB"/>
        </w:rPr>
        <w:t>0</w:t>
      </w:r>
      <w:r w:rsidR="00C53A21">
        <w:rPr>
          <w:rFonts w:ascii="Arial" w:eastAsia="Times New Roman" w:hAnsi="Arial" w:cs="Arial"/>
          <w:b/>
          <w:bCs/>
          <w:color w:val="000000"/>
          <w:sz w:val="20"/>
          <w:szCs w:val="20"/>
          <w:lang w:eastAsia="en-GB"/>
        </w:rPr>
        <w:t>4</w:t>
      </w:r>
      <w:r>
        <w:rPr>
          <w:rFonts w:ascii="Arial" w:eastAsia="Times New Roman" w:hAnsi="Arial" w:cs="Arial"/>
          <w:b/>
          <w:bCs/>
          <w:color w:val="000000"/>
          <w:sz w:val="20"/>
          <w:szCs w:val="20"/>
          <w:lang w:eastAsia="en-GB"/>
        </w:rPr>
        <w:t>.</w:t>
      </w:r>
      <w:r w:rsidR="00C53A21">
        <w:rPr>
          <w:rFonts w:ascii="Arial" w:eastAsia="Times New Roman" w:hAnsi="Arial" w:cs="Arial"/>
          <w:b/>
          <w:bCs/>
          <w:color w:val="000000"/>
          <w:sz w:val="20"/>
          <w:szCs w:val="20"/>
          <w:lang w:eastAsia="en-GB"/>
        </w:rPr>
        <w:t>18</w:t>
      </w:r>
      <w:r>
        <w:rPr>
          <w:rFonts w:ascii="Arial" w:eastAsia="Times New Roman" w:hAnsi="Arial" w:cs="Arial"/>
          <w:b/>
          <w:bCs/>
          <w:color w:val="000000"/>
          <w:sz w:val="20"/>
          <w:szCs w:val="20"/>
          <w:lang w:eastAsia="en-GB"/>
        </w:rPr>
        <w:t xml:space="preserve">. </w:t>
      </w:r>
      <w:r w:rsidR="007704B3" w:rsidRPr="00A20986">
        <w:rPr>
          <w:rFonts w:ascii="Arial" w:eastAsia="Times New Roman" w:hAnsi="Arial" w:cs="Arial"/>
          <w:b/>
          <w:bCs/>
          <w:color w:val="000000"/>
          <w:sz w:val="20"/>
          <w:szCs w:val="20"/>
          <w:lang w:eastAsia="en-GB"/>
        </w:rPr>
        <w:t xml:space="preserve">IVSC </w:t>
      </w:r>
      <w:r w:rsidR="00756952">
        <w:rPr>
          <w:rFonts w:ascii="Arial" w:eastAsia="Times New Roman" w:hAnsi="Arial" w:cs="Arial"/>
          <w:b/>
          <w:bCs/>
          <w:color w:val="000000"/>
          <w:sz w:val="20"/>
          <w:szCs w:val="20"/>
          <w:lang w:eastAsia="en-GB"/>
        </w:rPr>
        <w:t>TAB</w:t>
      </w:r>
      <w:r w:rsidR="007704B3" w:rsidRPr="00A20986">
        <w:rPr>
          <w:rFonts w:ascii="Arial" w:eastAsia="Times New Roman" w:hAnsi="Arial" w:cs="Arial"/>
          <w:b/>
          <w:bCs/>
          <w:color w:val="000000"/>
          <w:sz w:val="20"/>
          <w:szCs w:val="20"/>
          <w:lang w:eastAsia="en-GB"/>
        </w:rPr>
        <w:t xml:space="preserve"> Working Group Update </w:t>
      </w:r>
    </w:p>
    <w:p w14:paraId="32C75EF7" w14:textId="1DC40A20" w:rsidR="000A1F4D" w:rsidRPr="00A20986" w:rsidRDefault="000A1F4D" w:rsidP="000A1F4D">
      <w:pPr>
        <w:rPr>
          <w:rFonts w:ascii="Arial" w:eastAsia="Times New Roman" w:hAnsi="Arial" w:cs="Arial"/>
          <w:b/>
          <w:bCs/>
          <w:color w:val="000000"/>
          <w:sz w:val="20"/>
          <w:szCs w:val="20"/>
          <w:lang w:eastAsia="en-GB"/>
        </w:rPr>
      </w:pPr>
      <w:bookmarkStart w:id="0" w:name="_GoBack"/>
      <w:bookmarkEnd w:id="0"/>
    </w:p>
    <w:tbl>
      <w:tblPr>
        <w:tblStyle w:val="TableGrid"/>
        <w:tblpPr w:leftFromText="180" w:rightFromText="180" w:tblpY="515"/>
        <w:tblW w:w="18852" w:type="dxa"/>
        <w:tblLook w:val="04A0" w:firstRow="1" w:lastRow="0" w:firstColumn="1" w:lastColumn="0" w:noHBand="0" w:noVBand="1"/>
      </w:tblPr>
      <w:tblGrid>
        <w:gridCol w:w="2977"/>
        <w:gridCol w:w="9923"/>
        <w:gridCol w:w="1984"/>
        <w:gridCol w:w="1984"/>
        <w:gridCol w:w="1984"/>
      </w:tblGrid>
      <w:tr w:rsidR="00174357" w14:paraId="2C0F89BB" w14:textId="77777777" w:rsidTr="000756CD">
        <w:trPr>
          <w:gridAfter w:val="2"/>
          <w:wAfter w:w="3968" w:type="dxa"/>
        </w:trPr>
        <w:tc>
          <w:tcPr>
            <w:tcW w:w="2977" w:type="dxa"/>
          </w:tcPr>
          <w:p w14:paraId="0224ED66" w14:textId="77777777" w:rsidR="00174357" w:rsidRDefault="00174357" w:rsidP="000756CD">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Working group</w:t>
            </w:r>
          </w:p>
        </w:tc>
        <w:tc>
          <w:tcPr>
            <w:tcW w:w="9923" w:type="dxa"/>
          </w:tcPr>
          <w:p w14:paraId="5DB4251D" w14:textId="77777777" w:rsidR="00174357" w:rsidRDefault="00174357" w:rsidP="000756CD">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Task of working group</w:t>
            </w:r>
          </w:p>
          <w:p w14:paraId="6300B92E" w14:textId="77777777" w:rsidR="00174357" w:rsidRDefault="00174357" w:rsidP="000756CD">
            <w:pPr>
              <w:rPr>
                <w:rFonts w:ascii="Arial" w:eastAsia="Times New Roman" w:hAnsi="Arial" w:cs="Arial"/>
                <w:b/>
                <w:bCs/>
                <w:color w:val="000000"/>
                <w:sz w:val="20"/>
                <w:szCs w:val="20"/>
                <w:lang w:eastAsia="en-GB"/>
              </w:rPr>
            </w:pPr>
          </w:p>
        </w:tc>
        <w:tc>
          <w:tcPr>
            <w:tcW w:w="1984" w:type="dxa"/>
          </w:tcPr>
          <w:p w14:paraId="2DCCFCEB" w14:textId="77777777" w:rsidR="00174357" w:rsidRDefault="00174357" w:rsidP="000756CD">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Expected task end</w:t>
            </w:r>
          </w:p>
        </w:tc>
      </w:tr>
      <w:tr w:rsidR="00174357" w14:paraId="47AD6165" w14:textId="77777777" w:rsidTr="000756CD">
        <w:trPr>
          <w:gridAfter w:val="2"/>
          <w:wAfter w:w="3968" w:type="dxa"/>
        </w:trPr>
        <w:tc>
          <w:tcPr>
            <w:tcW w:w="2977" w:type="dxa"/>
          </w:tcPr>
          <w:p w14:paraId="5473D411" w14:textId="77777777" w:rsidR="00174357" w:rsidRDefault="00174357" w:rsidP="000756CD">
            <w:pPr>
              <w:pStyle w:val="ListParagraph"/>
              <w:numPr>
                <w:ilvl w:val="0"/>
                <w:numId w:val="13"/>
              </w:numPr>
              <w:rPr>
                <w:rFonts w:ascii="Arial" w:hAnsi="Arial" w:cs="Arial"/>
                <w:bCs/>
                <w:color w:val="000000"/>
                <w:sz w:val="20"/>
                <w:szCs w:val="20"/>
              </w:rPr>
            </w:pPr>
            <w:r>
              <w:rPr>
                <w:rFonts w:ascii="Arial" w:hAnsi="Arial" w:cs="Arial"/>
                <w:bCs/>
                <w:color w:val="000000"/>
                <w:sz w:val="20"/>
                <w:szCs w:val="20"/>
              </w:rPr>
              <w:t>TAB</w:t>
            </w:r>
            <w:r w:rsidRPr="00AB705C">
              <w:rPr>
                <w:rFonts w:ascii="Arial" w:hAnsi="Arial" w:cs="Arial"/>
                <w:bCs/>
                <w:color w:val="000000"/>
                <w:sz w:val="20"/>
                <w:szCs w:val="20"/>
              </w:rPr>
              <w:t xml:space="preserve"> </w:t>
            </w:r>
            <w:r>
              <w:rPr>
                <w:rFonts w:ascii="Arial" w:hAnsi="Arial" w:cs="Arial"/>
                <w:bCs/>
                <w:color w:val="000000"/>
                <w:sz w:val="20"/>
                <w:szCs w:val="20"/>
              </w:rPr>
              <w:t>MV</w:t>
            </w:r>
            <w:r w:rsidRPr="00AB705C">
              <w:rPr>
                <w:rFonts w:ascii="Arial" w:hAnsi="Arial" w:cs="Arial"/>
                <w:bCs/>
                <w:color w:val="000000"/>
                <w:sz w:val="20"/>
                <w:szCs w:val="20"/>
              </w:rPr>
              <w:t xml:space="preserve"> Working Group</w:t>
            </w:r>
          </w:p>
        </w:tc>
        <w:tc>
          <w:tcPr>
            <w:tcW w:w="9923" w:type="dxa"/>
          </w:tcPr>
          <w:p w14:paraId="7A9B7CBE" w14:textId="77777777" w:rsidR="00174357" w:rsidRDefault="00174357" w:rsidP="000756CD">
            <w:pPr>
              <w:rPr>
                <w:rFonts w:ascii="Arial" w:hAnsi="Arial" w:cs="Arial"/>
                <w:i/>
                <w:iCs/>
                <w:color w:val="000000"/>
                <w:sz w:val="20"/>
                <w:szCs w:val="20"/>
              </w:rPr>
            </w:pPr>
            <w:r>
              <w:rPr>
                <w:rFonts w:ascii="Arial" w:hAnsi="Arial" w:cs="Arial"/>
                <w:i/>
                <w:iCs/>
                <w:color w:val="000000"/>
                <w:sz w:val="20"/>
                <w:szCs w:val="20"/>
              </w:rPr>
              <w:t>Recently published the second perspectives paper in the series on Market Value – an established basis of value. Working group recently drafted a briefing paper on Prudential Value, which is being sent to the EU and the BCBS. The working group are currently considering a further perspective paper exploring the issues on prudential value or round tables on this extremely important issue.</w:t>
            </w:r>
          </w:p>
          <w:p w14:paraId="3A0D8CCB" w14:textId="77777777" w:rsidR="00174357" w:rsidRDefault="00174357" w:rsidP="000756CD">
            <w:pPr>
              <w:rPr>
                <w:rFonts w:ascii="Arial" w:hAnsi="Arial" w:cs="Arial"/>
                <w:i/>
                <w:iCs/>
                <w:color w:val="000000"/>
                <w:sz w:val="20"/>
                <w:szCs w:val="20"/>
              </w:rPr>
            </w:pPr>
          </w:p>
        </w:tc>
        <w:tc>
          <w:tcPr>
            <w:tcW w:w="1984" w:type="dxa"/>
          </w:tcPr>
          <w:p w14:paraId="34DF26AE" w14:textId="77777777" w:rsidR="00174357" w:rsidRDefault="00174357" w:rsidP="000756CD">
            <w:pPr>
              <w:rPr>
                <w:rFonts w:ascii="Arial" w:eastAsia="Times New Roman" w:hAnsi="Arial" w:cs="Arial"/>
                <w:b/>
                <w:bCs/>
                <w:color w:val="000000"/>
                <w:sz w:val="20"/>
                <w:szCs w:val="20"/>
                <w:lang w:eastAsia="en-GB"/>
              </w:rPr>
            </w:pPr>
          </w:p>
          <w:p w14:paraId="6FDBC05E" w14:textId="5C3ABFC6" w:rsidR="00174357" w:rsidRDefault="00EA54E1" w:rsidP="000756CD">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Ongoing</w:t>
            </w:r>
          </w:p>
          <w:p w14:paraId="5C6FCA36" w14:textId="77777777" w:rsidR="00174357" w:rsidRDefault="00174357" w:rsidP="000756CD">
            <w:pPr>
              <w:rPr>
                <w:rFonts w:ascii="Arial" w:eastAsia="Times New Roman" w:hAnsi="Arial" w:cs="Arial"/>
                <w:b/>
                <w:bCs/>
                <w:color w:val="000000"/>
                <w:sz w:val="20"/>
                <w:szCs w:val="20"/>
                <w:lang w:eastAsia="en-GB"/>
              </w:rPr>
            </w:pPr>
          </w:p>
        </w:tc>
      </w:tr>
      <w:tr w:rsidR="00EA54E1" w14:paraId="3938BCD0" w14:textId="77777777" w:rsidTr="000756CD">
        <w:trPr>
          <w:gridAfter w:val="2"/>
          <w:wAfter w:w="3968" w:type="dxa"/>
        </w:trPr>
        <w:tc>
          <w:tcPr>
            <w:tcW w:w="2977" w:type="dxa"/>
          </w:tcPr>
          <w:p w14:paraId="531FDECA" w14:textId="7ED256C4" w:rsidR="00EA54E1" w:rsidRDefault="00EA54E1" w:rsidP="000756CD">
            <w:pPr>
              <w:pStyle w:val="ListParagraph"/>
              <w:numPr>
                <w:ilvl w:val="0"/>
                <w:numId w:val="13"/>
              </w:numPr>
              <w:rPr>
                <w:rFonts w:ascii="Arial" w:hAnsi="Arial" w:cs="Arial"/>
                <w:bCs/>
                <w:color w:val="000000"/>
                <w:sz w:val="20"/>
                <w:szCs w:val="20"/>
              </w:rPr>
            </w:pPr>
            <w:r>
              <w:rPr>
                <w:rFonts w:ascii="Arial" w:hAnsi="Arial" w:cs="Arial"/>
                <w:bCs/>
                <w:color w:val="000000"/>
                <w:sz w:val="20"/>
                <w:szCs w:val="20"/>
              </w:rPr>
              <w:t>TAB ESG Working Group</w:t>
            </w:r>
          </w:p>
        </w:tc>
        <w:tc>
          <w:tcPr>
            <w:tcW w:w="9923" w:type="dxa"/>
          </w:tcPr>
          <w:p w14:paraId="08B2BEEE" w14:textId="56FFC28E" w:rsidR="00EA54E1" w:rsidRPr="00EA54E1" w:rsidRDefault="00EA54E1" w:rsidP="000756CD">
            <w:pPr>
              <w:rPr>
                <w:rFonts w:ascii="Arial" w:hAnsi="Arial" w:cs="Arial"/>
                <w:color w:val="000000"/>
                <w:sz w:val="20"/>
                <w:szCs w:val="20"/>
              </w:rPr>
            </w:pPr>
            <w:r>
              <w:rPr>
                <w:rFonts w:ascii="Arial" w:hAnsi="Arial" w:cs="Arial"/>
                <w:color w:val="000000"/>
                <w:sz w:val="20"/>
                <w:szCs w:val="20"/>
              </w:rPr>
              <w:t>Published first perspectives paper in the series on ESG and Real Estate Valuation Working group currently discussing topics for the second perspective paper in the series.</w:t>
            </w:r>
          </w:p>
        </w:tc>
        <w:tc>
          <w:tcPr>
            <w:tcW w:w="1984" w:type="dxa"/>
          </w:tcPr>
          <w:p w14:paraId="4C53783E" w14:textId="0ECCC3A6" w:rsidR="00EA54E1" w:rsidRDefault="00EA54E1" w:rsidP="000756CD">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Ongoing</w:t>
            </w:r>
          </w:p>
        </w:tc>
      </w:tr>
      <w:tr w:rsidR="00174357" w14:paraId="22A2EF68" w14:textId="77777777" w:rsidTr="000756CD">
        <w:trPr>
          <w:gridAfter w:val="2"/>
          <w:wAfter w:w="3968" w:type="dxa"/>
        </w:trPr>
        <w:tc>
          <w:tcPr>
            <w:tcW w:w="2977" w:type="dxa"/>
          </w:tcPr>
          <w:p w14:paraId="617E291F" w14:textId="77777777" w:rsidR="00174357" w:rsidRDefault="00174357" w:rsidP="000756CD">
            <w:pPr>
              <w:pStyle w:val="ListParagraph"/>
              <w:numPr>
                <w:ilvl w:val="0"/>
                <w:numId w:val="13"/>
              </w:numPr>
              <w:rPr>
                <w:rFonts w:ascii="Arial" w:hAnsi="Arial" w:cs="Arial"/>
                <w:bCs/>
                <w:color w:val="000000"/>
                <w:sz w:val="20"/>
                <w:szCs w:val="20"/>
              </w:rPr>
            </w:pPr>
            <w:r>
              <w:rPr>
                <w:rFonts w:ascii="Arial" w:hAnsi="Arial" w:cs="Arial"/>
                <w:bCs/>
                <w:color w:val="000000"/>
                <w:sz w:val="20"/>
                <w:szCs w:val="20"/>
              </w:rPr>
              <w:t>TAB IVS 300 Working Group</w:t>
            </w:r>
          </w:p>
        </w:tc>
        <w:tc>
          <w:tcPr>
            <w:tcW w:w="9923" w:type="dxa"/>
          </w:tcPr>
          <w:p w14:paraId="3FFC6467" w14:textId="4E5E4823" w:rsidR="00174357" w:rsidRDefault="00174357" w:rsidP="000756CD">
            <w:pPr>
              <w:rPr>
                <w:rFonts w:ascii="Arial" w:hAnsi="Arial" w:cs="Arial"/>
                <w:i/>
                <w:iCs/>
                <w:color w:val="000000"/>
                <w:sz w:val="20"/>
                <w:szCs w:val="20"/>
              </w:rPr>
            </w:pPr>
            <w:r>
              <w:rPr>
                <w:rFonts w:ascii="Arial" w:hAnsi="Arial" w:cs="Arial"/>
                <w:i/>
                <w:iCs/>
                <w:color w:val="000000"/>
                <w:sz w:val="20"/>
                <w:szCs w:val="20"/>
              </w:rPr>
              <w:t>Reviewing IVS 300 Plant and Machinery to provide greater clarification on the use of the income approach. Draft Income Approach section in the process of being revised post SRB review. Working group also considering further revisions to the paper to include infrastructure and specialist valuations and to revise the chapter structure according as per the IVSC General Standards Review.</w:t>
            </w:r>
            <w:r w:rsidR="00C53A21">
              <w:rPr>
                <w:rFonts w:ascii="Arial" w:hAnsi="Arial" w:cs="Arial"/>
                <w:i/>
                <w:iCs/>
                <w:color w:val="000000"/>
                <w:sz w:val="20"/>
                <w:szCs w:val="20"/>
              </w:rPr>
              <w:t xml:space="preserve"> </w:t>
            </w:r>
            <w:r w:rsidR="00C53A21">
              <w:rPr>
                <w:rFonts w:ascii="Arial" w:eastAsia="Times New Roman" w:hAnsi="Arial" w:cs="Arial"/>
                <w:i/>
                <w:iCs/>
                <w:color w:val="000000"/>
                <w:sz w:val="20"/>
                <w:szCs w:val="20"/>
                <w:lang w:eastAsia="en-GB"/>
              </w:rPr>
              <w:t xml:space="preserve"> </w:t>
            </w:r>
            <w:r w:rsidR="00C53A21">
              <w:rPr>
                <w:rFonts w:ascii="Arial" w:eastAsia="Times New Roman" w:hAnsi="Arial" w:cs="Arial"/>
                <w:i/>
                <w:iCs/>
                <w:color w:val="000000"/>
                <w:sz w:val="20"/>
                <w:szCs w:val="20"/>
                <w:lang w:eastAsia="en-GB"/>
              </w:rPr>
              <w:t>The working group will continue until the IVS General Standards Exposure Draft goes into consultation in April 2023. The working group will restart post consultation to review the consultation responses.</w:t>
            </w:r>
          </w:p>
          <w:p w14:paraId="50A48A99" w14:textId="77777777" w:rsidR="00174357" w:rsidRDefault="00174357" w:rsidP="000756CD">
            <w:pPr>
              <w:rPr>
                <w:rFonts w:ascii="Arial" w:hAnsi="Arial" w:cs="Arial"/>
                <w:i/>
                <w:iCs/>
                <w:color w:val="000000"/>
                <w:sz w:val="20"/>
                <w:szCs w:val="20"/>
              </w:rPr>
            </w:pPr>
          </w:p>
        </w:tc>
        <w:tc>
          <w:tcPr>
            <w:tcW w:w="1984" w:type="dxa"/>
          </w:tcPr>
          <w:p w14:paraId="5365FEDA" w14:textId="77777777" w:rsidR="00174357" w:rsidRDefault="00174357" w:rsidP="000756CD">
            <w:pPr>
              <w:jc w:val="center"/>
              <w:rPr>
                <w:rFonts w:ascii="Arial" w:eastAsia="Times New Roman" w:hAnsi="Arial" w:cs="Arial"/>
                <w:i/>
                <w:iCs/>
                <w:color w:val="000000"/>
                <w:sz w:val="20"/>
                <w:szCs w:val="20"/>
                <w:lang w:eastAsia="en-GB"/>
              </w:rPr>
            </w:pPr>
          </w:p>
          <w:p w14:paraId="0AEEC0EC" w14:textId="77777777" w:rsidR="00174357" w:rsidRDefault="00174357" w:rsidP="000756CD">
            <w:pPr>
              <w:jc w:val="center"/>
              <w:rPr>
                <w:rFonts w:ascii="Arial" w:eastAsia="Times New Roman" w:hAnsi="Arial" w:cs="Arial"/>
                <w:i/>
                <w:iCs/>
                <w:color w:val="000000"/>
                <w:sz w:val="20"/>
                <w:szCs w:val="20"/>
                <w:lang w:eastAsia="en-GB"/>
              </w:rPr>
            </w:pPr>
          </w:p>
          <w:p w14:paraId="046BDB68" w14:textId="77777777" w:rsidR="00174357" w:rsidRDefault="00174357" w:rsidP="000756CD">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April 2023</w:t>
            </w:r>
          </w:p>
          <w:p w14:paraId="38CCC4B4" w14:textId="77777777" w:rsidR="00174357" w:rsidRDefault="00174357" w:rsidP="000756CD">
            <w:pPr>
              <w:rPr>
                <w:rFonts w:ascii="Arial" w:eastAsia="Times New Roman" w:hAnsi="Arial" w:cs="Arial"/>
                <w:b/>
                <w:bCs/>
                <w:color w:val="000000"/>
                <w:sz w:val="20"/>
                <w:szCs w:val="20"/>
                <w:lang w:eastAsia="en-GB"/>
              </w:rPr>
            </w:pPr>
          </w:p>
        </w:tc>
      </w:tr>
      <w:tr w:rsidR="00174357" w14:paraId="5D9D4566" w14:textId="77777777" w:rsidTr="000756CD">
        <w:trPr>
          <w:gridAfter w:val="2"/>
          <w:wAfter w:w="3968" w:type="dxa"/>
        </w:trPr>
        <w:tc>
          <w:tcPr>
            <w:tcW w:w="2977" w:type="dxa"/>
          </w:tcPr>
          <w:p w14:paraId="5FC71D3B" w14:textId="77777777" w:rsidR="00174357" w:rsidRPr="00AB705C" w:rsidRDefault="00174357" w:rsidP="000756CD">
            <w:pPr>
              <w:pStyle w:val="ListParagraph"/>
              <w:numPr>
                <w:ilvl w:val="0"/>
                <w:numId w:val="13"/>
              </w:numPr>
              <w:rPr>
                <w:rFonts w:ascii="Arial" w:hAnsi="Arial" w:cs="Arial"/>
                <w:bCs/>
                <w:color w:val="000000"/>
                <w:sz w:val="20"/>
                <w:szCs w:val="20"/>
              </w:rPr>
            </w:pPr>
            <w:r>
              <w:rPr>
                <w:rFonts w:ascii="Arial" w:hAnsi="Arial" w:cs="Arial"/>
                <w:bCs/>
                <w:color w:val="000000"/>
                <w:sz w:val="20"/>
                <w:szCs w:val="20"/>
              </w:rPr>
              <w:t>TAB IVS 400 Working Group</w:t>
            </w:r>
          </w:p>
        </w:tc>
        <w:tc>
          <w:tcPr>
            <w:tcW w:w="9923" w:type="dxa"/>
          </w:tcPr>
          <w:p w14:paraId="74B93FF7" w14:textId="0C57DA6B" w:rsidR="00174357" w:rsidRDefault="00174357" w:rsidP="000756CD">
            <w:pPr>
              <w:rPr>
                <w:rFonts w:ascii="Arial" w:hAnsi="Arial" w:cs="Arial"/>
                <w:i/>
                <w:iCs/>
                <w:color w:val="000000"/>
                <w:sz w:val="20"/>
                <w:szCs w:val="20"/>
              </w:rPr>
            </w:pPr>
            <w:r>
              <w:rPr>
                <w:rFonts w:ascii="Arial" w:hAnsi="Arial" w:cs="Arial"/>
                <w:i/>
                <w:iCs/>
                <w:color w:val="000000"/>
                <w:sz w:val="20"/>
                <w:szCs w:val="20"/>
              </w:rPr>
              <w:t>Reviewing IVS 400 Real Property Interests to revise the chapter structure according as per the IVSC General Standards Review and to include new sections on data and inputs and models.</w:t>
            </w:r>
            <w:r w:rsidR="00C53A21">
              <w:rPr>
                <w:rFonts w:ascii="Arial" w:hAnsi="Arial" w:cs="Arial"/>
                <w:i/>
                <w:iCs/>
                <w:color w:val="000000"/>
                <w:sz w:val="20"/>
                <w:szCs w:val="20"/>
              </w:rPr>
              <w:t xml:space="preserve"> </w:t>
            </w:r>
            <w:r w:rsidR="00C53A21">
              <w:rPr>
                <w:rFonts w:ascii="Arial" w:eastAsia="Times New Roman" w:hAnsi="Arial" w:cs="Arial"/>
                <w:i/>
                <w:iCs/>
                <w:color w:val="000000"/>
                <w:sz w:val="20"/>
                <w:szCs w:val="20"/>
                <w:lang w:eastAsia="en-GB"/>
              </w:rPr>
              <w:t xml:space="preserve"> </w:t>
            </w:r>
            <w:r w:rsidR="00C53A21">
              <w:rPr>
                <w:rFonts w:ascii="Arial" w:eastAsia="Times New Roman" w:hAnsi="Arial" w:cs="Arial"/>
                <w:i/>
                <w:iCs/>
                <w:color w:val="000000"/>
                <w:sz w:val="20"/>
                <w:szCs w:val="20"/>
                <w:lang w:eastAsia="en-GB"/>
              </w:rPr>
              <w:t>The working group will continue until the IVS General Standards Exposure Draft goes into consultation in April 2023. The working group will restart post consultation to review the consultation responses.</w:t>
            </w:r>
          </w:p>
          <w:p w14:paraId="01D7D747" w14:textId="77777777" w:rsidR="00174357" w:rsidRDefault="00174357" w:rsidP="000756CD">
            <w:pPr>
              <w:rPr>
                <w:rFonts w:ascii="Arial" w:hAnsi="Arial" w:cs="Arial"/>
                <w:i/>
                <w:iCs/>
                <w:color w:val="000000"/>
                <w:sz w:val="20"/>
                <w:szCs w:val="20"/>
              </w:rPr>
            </w:pPr>
          </w:p>
        </w:tc>
        <w:tc>
          <w:tcPr>
            <w:tcW w:w="1984" w:type="dxa"/>
          </w:tcPr>
          <w:p w14:paraId="506A6BAD" w14:textId="77777777" w:rsidR="00174357" w:rsidRDefault="00174357" w:rsidP="000756CD">
            <w:pPr>
              <w:jc w:val="center"/>
              <w:rPr>
                <w:rFonts w:ascii="Arial" w:eastAsia="Times New Roman" w:hAnsi="Arial" w:cs="Arial"/>
                <w:i/>
                <w:iCs/>
                <w:color w:val="000000"/>
                <w:sz w:val="20"/>
                <w:szCs w:val="20"/>
                <w:lang w:eastAsia="en-GB"/>
              </w:rPr>
            </w:pPr>
          </w:p>
          <w:p w14:paraId="1DB19E20" w14:textId="77777777" w:rsidR="00174357" w:rsidRDefault="00174357" w:rsidP="000756CD">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April 2023</w:t>
            </w:r>
          </w:p>
          <w:p w14:paraId="420BE6AD" w14:textId="77777777" w:rsidR="00174357" w:rsidRDefault="00174357" w:rsidP="000756CD">
            <w:pPr>
              <w:rPr>
                <w:rFonts w:ascii="Arial" w:eastAsia="Times New Roman" w:hAnsi="Arial" w:cs="Arial"/>
                <w:b/>
                <w:bCs/>
                <w:color w:val="000000"/>
                <w:sz w:val="20"/>
                <w:szCs w:val="20"/>
                <w:lang w:eastAsia="en-GB"/>
              </w:rPr>
            </w:pPr>
          </w:p>
        </w:tc>
      </w:tr>
      <w:tr w:rsidR="00174357" w14:paraId="54D6A00B" w14:textId="77777777" w:rsidTr="000756CD">
        <w:trPr>
          <w:gridAfter w:val="2"/>
          <w:wAfter w:w="3968" w:type="dxa"/>
        </w:trPr>
        <w:tc>
          <w:tcPr>
            <w:tcW w:w="2977" w:type="dxa"/>
            <w:tcBorders>
              <w:bottom w:val="single" w:sz="4" w:space="0" w:color="auto"/>
            </w:tcBorders>
          </w:tcPr>
          <w:p w14:paraId="757C4FFD" w14:textId="77777777" w:rsidR="00174357" w:rsidRPr="00AB705C" w:rsidRDefault="00174357" w:rsidP="000756CD">
            <w:pPr>
              <w:pStyle w:val="ListParagraph"/>
              <w:numPr>
                <w:ilvl w:val="0"/>
                <w:numId w:val="13"/>
              </w:numPr>
              <w:rPr>
                <w:rFonts w:ascii="Arial" w:hAnsi="Arial" w:cs="Arial"/>
                <w:bCs/>
                <w:color w:val="000000"/>
                <w:sz w:val="20"/>
                <w:szCs w:val="20"/>
              </w:rPr>
            </w:pPr>
            <w:r>
              <w:rPr>
                <w:rFonts w:ascii="Arial" w:hAnsi="Arial" w:cs="Arial"/>
                <w:bCs/>
                <w:color w:val="000000"/>
                <w:sz w:val="20"/>
                <w:szCs w:val="20"/>
              </w:rPr>
              <w:t>TAB IVS 410 Working Group</w:t>
            </w:r>
          </w:p>
        </w:tc>
        <w:tc>
          <w:tcPr>
            <w:tcW w:w="9923" w:type="dxa"/>
            <w:tcBorders>
              <w:bottom w:val="single" w:sz="4" w:space="0" w:color="auto"/>
            </w:tcBorders>
          </w:tcPr>
          <w:p w14:paraId="3D15995E" w14:textId="47A65EB0" w:rsidR="00174357" w:rsidRDefault="00174357" w:rsidP="000756CD">
            <w:pPr>
              <w:rPr>
                <w:rFonts w:ascii="Arial" w:hAnsi="Arial" w:cs="Arial"/>
                <w:i/>
                <w:iCs/>
                <w:color w:val="000000"/>
                <w:sz w:val="20"/>
                <w:szCs w:val="20"/>
              </w:rPr>
            </w:pPr>
            <w:r>
              <w:rPr>
                <w:rFonts w:ascii="Arial" w:hAnsi="Arial" w:cs="Arial"/>
                <w:i/>
                <w:iCs/>
                <w:color w:val="000000"/>
                <w:sz w:val="20"/>
                <w:szCs w:val="20"/>
              </w:rPr>
              <w:t>Reviewing IVS 410 Development Property to revise the chapter structure according as per the IVSC General Standards Review and to include new sections on data and inputs and models.</w:t>
            </w:r>
            <w:r w:rsidR="00C53A21">
              <w:rPr>
                <w:rFonts w:ascii="Arial" w:hAnsi="Arial" w:cs="Arial"/>
                <w:i/>
                <w:iCs/>
                <w:color w:val="000000"/>
                <w:sz w:val="20"/>
                <w:szCs w:val="20"/>
              </w:rPr>
              <w:t xml:space="preserve"> </w:t>
            </w:r>
            <w:r w:rsidR="00C53A21">
              <w:rPr>
                <w:rFonts w:ascii="Arial" w:eastAsia="Times New Roman" w:hAnsi="Arial" w:cs="Arial"/>
                <w:i/>
                <w:iCs/>
                <w:color w:val="000000"/>
                <w:sz w:val="20"/>
                <w:szCs w:val="20"/>
                <w:lang w:eastAsia="en-GB"/>
              </w:rPr>
              <w:t xml:space="preserve"> </w:t>
            </w:r>
            <w:r w:rsidR="00C53A21">
              <w:rPr>
                <w:rFonts w:ascii="Arial" w:eastAsia="Times New Roman" w:hAnsi="Arial" w:cs="Arial"/>
                <w:i/>
                <w:iCs/>
                <w:color w:val="000000"/>
                <w:sz w:val="20"/>
                <w:szCs w:val="20"/>
                <w:lang w:eastAsia="en-GB"/>
              </w:rPr>
              <w:t>The working group will continue until the IVS General Standards Exposure Draft goes into consultation in April 2023. The working group will restart post consultation to review the consultation responses.</w:t>
            </w:r>
          </w:p>
          <w:p w14:paraId="00A979C1" w14:textId="77777777" w:rsidR="00174357" w:rsidRDefault="00174357" w:rsidP="000756CD">
            <w:pPr>
              <w:rPr>
                <w:rFonts w:ascii="Arial" w:hAnsi="Arial" w:cs="Arial"/>
                <w:i/>
                <w:iCs/>
                <w:color w:val="000000"/>
                <w:sz w:val="20"/>
                <w:szCs w:val="20"/>
              </w:rPr>
            </w:pPr>
          </w:p>
        </w:tc>
        <w:tc>
          <w:tcPr>
            <w:tcW w:w="1984" w:type="dxa"/>
            <w:tcBorders>
              <w:bottom w:val="single" w:sz="4" w:space="0" w:color="auto"/>
            </w:tcBorders>
          </w:tcPr>
          <w:p w14:paraId="00B082FC" w14:textId="77777777" w:rsidR="00174357" w:rsidRDefault="00174357" w:rsidP="000756CD">
            <w:pPr>
              <w:jc w:val="center"/>
              <w:rPr>
                <w:rFonts w:ascii="Arial" w:eastAsia="Times New Roman" w:hAnsi="Arial" w:cs="Arial"/>
                <w:i/>
                <w:iCs/>
                <w:color w:val="000000"/>
                <w:sz w:val="20"/>
                <w:szCs w:val="20"/>
                <w:lang w:eastAsia="en-GB"/>
              </w:rPr>
            </w:pPr>
          </w:p>
          <w:p w14:paraId="0E9DB4EC" w14:textId="77777777" w:rsidR="00174357" w:rsidRDefault="00174357" w:rsidP="000756CD">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April 2023</w:t>
            </w:r>
          </w:p>
          <w:p w14:paraId="533289A0" w14:textId="77777777" w:rsidR="00174357" w:rsidRDefault="00174357" w:rsidP="000756CD">
            <w:pPr>
              <w:rPr>
                <w:rFonts w:ascii="Arial" w:eastAsia="Times New Roman" w:hAnsi="Arial" w:cs="Arial"/>
                <w:b/>
                <w:bCs/>
                <w:color w:val="000000"/>
                <w:sz w:val="20"/>
                <w:szCs w:val="20"/>
                <w:lang w:eastAsia="en-GB"/>
              </w:rPr>
            </w:pPr>
          </w:p>
        </w:tc>
      </w:tr>
      <w:tr w:rsidR="00174357" w14:paraId="2E2BE99F" w14:textId="77777777" w:rsidTr="000756CD">
        <w:tc>
          <w:tcPr>
            <w:tcW w:w="14884" w:type="dxa"/>
            <w:gridSpan w:val="3"/>
            <w:tcBorders>
              <w:bottom w:val="single" w:sz="4" w:space="0" w:color="auto"/>
            </w:tcBorders>
            <w:shd w:val="clear" w:color="auto" w:fill="FFC000"/>
          </w:tcPr>
          <w:p w14:paraId="48C6B125" w14:textId="77777777" w:rsidR="00174357" w:rsidRDefault="00174357" w:rsidP="000756CD">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On Sabbatical</w:t>
            </w:r>
          </w:p>
        </w:tc>
        <w:tc>
          <w:tcPr>
            <w:tcW w:w="1984" w:type="dxa"/>
          </w:tcPr>
          <w:p w14:paraId="0986A88B" w14:textId="77777777" w:rsidR="00174357" w:rsidRDefault="00174357" w:rsidP="000756CD"/>
        </w:tc>
        <w:tc>
          <w:tcPr>
            <w:tcW w:w="1984" w:type="dxa"/>
          </w:tcPr>
          <w:p w14:paraId="0DFC96A5" w14:textId="77777777" w:rsidR="00174357" w:rsidRDefault="00174357" w:rsidP="000756CD"/>
        </w:tc>
      </w:tr>
      <w:tr w:rsidR="00EA54E1" w14:paraId="43D8616E" w14:textId="77777777" w:rsidTr="000756CD">
        <w:trPr>
          <w:gridAfter w:val="2"/>
          <w:wAfter w:w="3968" w:type="dxa"/>
        </w:trPr>
        <w:tc>
          <w:tcPr>
            <w:tcW w:w="2977" w:type="dxa"/>
            <w:shd w:val="clear" w:color="auto" w:fill="FFC000"/>
          </w:tcPr>
          <w:p w14:paraId="599664A7" w14:textId="1A39B873" w:rsidR="00EA54E1" w:rsidRPr="00E607D0" w:rsidRDefault="00EA54E1" w:rsidP="00EA54E1">
            <w:pPr>
              <w:pStyle w:val="ListParagraph"/>
              <w:numPr>
                <w:ilvl w:val="0"/>
                <w:numId w:val="13"/>
              </w:numPr>
              <w:rPr>
                <w:rFonts w:ascii="Arial" w:hAnsi="Arial" w:cs="Arial"/>
                <w:bCs/>
                <w:color w:val="000000"/>
                <w:sz w:val="20"/>
                <w:szCs w:val="20"/>
              </w:rPr>
            </w:pPr>
            <w:r>
              <w:rPr>
                <w:rFonts w:ascii="Arial" w:hAnsi="Arial" w:cs="Arial"/>
                <w:bCs/>
                <w:color w:val="000000"/>
                <w:sz w:val="20"/>
                <w:szCs w:val="20"/>
              </w:rPr>
              <w:t xml:space="preserve">TAB </w:t>
            </w:r>
            <w:r w:rsidRPr="00AB705C">
              <w:rPr>
                <w:rFonts w:ascii="Arial" w:hAnsi="Arial" w:cs="Arial"/>
                <w:bCs/>
                <w:color w:val="000000"/>
                <w:sz w:val="20"/>
                <w:szCs w:val="20"/>
              </w:rPr>
              <w:t>AVM</w:t>
            </w:r>
            <w:r>
              <w:rPr>
                <w:rFonts w:ascii="Arial" w:hAnsi="Arial" w:cs="Arial"/>
                <w:bCs/>
                <w:color w:val="000000"/>
                <w:sz w:val="20"/>
                <w:szCs w:val="20"/>
              </w:rPr>
              <w:t xml:space="preserve"> </w:t>
            </w:r>
            <w:r w:rsidRPr="00AB705C">
              <w:rPr>
                <w:rFonts w:ascii="Arial" w:hAnsi="Arial" w:cs="Arial"/>
                <w:bCs/>
                <w:color w:val="000000"/>
                <w:sz w:val="20"/>
                <w:szCs w:val="20"/>
              </w:rPr>
              <w:t>Working Group</w:t>
            </w:r>
          </w:p>
        </w:tc>
        <w:tc>
          <w:tcPr>
            <w:tcW w:w="9923" w:type="dxa"/>
            <w:shd w:val="clear" w:color="auto" w:fill="FFC000"/>
          </w:tcPr>
          <w:p w14:paraId="3365E4DA" w14:textId="38E11BB2" w:rsidR="00EA54E1" w:rsidRDefault="00EA54E1" w:rsidP="00EA54E1">
            <w:pPr>
              <w:rPr>
                <w:rFonts w:ascii="Arial" w:hAnsi="Arial" w:cs="Arial"/>
                <w:i/>
                <w:iCs/>
                <w:color w:val="000000"/>
                <w:sz w:val="20"/>
                <w:szCs w:val="20"/>
              </w:rPr>
            </w:pPr>
            <w:r>
              <w:rPr>
                <w:rFonts w:ascii="Arial" w:hAnsi="Arial" w:cs="Arial"/>
                <w:i/>
                <w:iCs/>
                <w:color w:val="000000"/>
                <w:sz w:val="20"/>
                <w:szCs w:val="20"/>
              </w:rPr>
              <w:t>Finalised perspectives paper on AVM and Residential Valuation. Published on the 30</w:t>
            </w:r>
            <w:r w:rsidRPr="00EA54E1">
              <w:rPr>
                <w:rFonts w:ascii="Arial" w:hAnsi="Arial" w:cs="Arial"/>
                <w:i/>
                <w:iCs/>
                <w:color w:val="000000"/>
                <w:sz w:val="20"/>
                <w:szCs w:val="20"/>
                <w:vertAlign w:val="superscript"/>
              </w:rPr>
              <w:t>th</w:t>
            </w:r>
            <w:r>
              <w:rPr>
                <w:rFonts w:ascii="Arial" w:hAnsi="Arial" w:cs="Arial"/>
                <w:i/>
                <w:iCs/>
                <w:color w:val="000000"/>
                <w:sz w:val="20"/>
                <w:szCs w:val="20"/>
              </w:rPr>
              <w:t xml:space="preserve"> November 2022 in IVSC Enews. Working group currently on sabbatical until IVS Exposure Draft completed.</w:t>
            </w:r>
          </w:p>
          <w:p w14:paraId="79A05253" w14:textId="77777777" w:rsidR="00EA54E1" w:rsidRDefault="00EA54E1" w:rsidP="00EA54E1">
            <w:pPr>
              <w:rPr>
                <w:rFonts w:ascii="Arial" w:hAnsi="Arial" w:cs="Arial"/>
                <w:i/>
                <w:iCs/>
                <w:color w:val="000000"/>
                <w:sz w:val="20"/>
                <w:szCs w:val="20"/>
              </w:rPr>
            </w:pPr>
          </w:p>
        </w:tc>
        <w:tc>
          <w:tcPr>
            <w:tcW w:w="1984" w:type="dxa"/>
            <w:shd w:val="clear" w:color="auto" w:fill="FFC000"/>
          </w:tcPr>
          <w:p w14:paraId="67094733" w14:textId="77777777" w:rsidR="00EA54E1" w:rsidRDefault="00EA54E1" w:rsidP="00EA54E1">
            <w:pPr>
              <w:rPr>
                <w:rFonts w:ascii="Arial" w:eastAsia="Times New Roman" w:hAnsi="Arial" w:cs="Arial"/>
                <w:b/>
                <w:bCs/>
                <w:color w:val="000000"/>
                <w:sz w:val="20"/>
                <w:szCs w:val="20"/>
                <w:lang w:eastAsia="en-GB"/>
              </w:rPr>
            </w:pPr>
          </w:p>
          <w:p w14:paraId="16833D6E" w14:textId="0E0FC1DA" w:rsidR="00EA54E1" w:rsidRDefault="008A3BE0" w:rsidP="008A3BE0">
            <w:pPr>
              <w:jc w:val="center"/>
              <w:rPr>
                <w:rFonts w:ascii="Arial" w:eastAsia="Times New Roman" w:hAnsi="Arial" w:cs="Arial"/>
                <w:b/>
                <w:bCs/>
                <w:color w:val="000000"/>
                <w:sz w:val="20"/>
                <w:szCs w:val="20"/>
                <w:lang w:eastAsia="en-GB"/>
              </w:rPr>
            </w:pPr>
            <w:r>
              <w:rPr>
                <w:rFonts w:ascii="Arial" w:eastAsia="Times New Roman" w:hAnsi="Arial" w:cs="Arial"/>
                <w:i/>
                <w:iCs/>
                <w:color w:val="000000"/>
                <w:sz w:val="20"/>
                <w:szCs w:val="20"/>
                <w:lang w:eastAsia="en-GB"/>
              </w:rPr>
              <w:t>Sabbatical</w:t>
            </w:r>
          </w:p>
        </w:tc>
      </w:tr>
      <w:tr w:rsidR="00EA54E1" w14:paraId="0AC98F93" w14:textId="77777777" w:rsidTr="000756CD">
        <w:trPr>
          <w:gridAfter w:val="2"/>
          <w:wAfter w:w="3968" w:type="dxa"/>
        </w:trPr>
        <w:tc>
          <w:tcPr>
            <w:tcW w:w="2977" w:type="dxa"/>
            <w:shd w:val="clear" w:color="auto" w:fill="FFC000"/>
          </w:tcPr>
          <w:p w14:paraId="4AFDE7D3" w14:textId="77777777" w:rsidR="00EA54E1" w:rsidRPr="00E607D0" w:rsidRDefault="00EA54E1" w:rsidP="00EA54E1">
            <w:pPr>
              <w:pStyle w:val="ListParagraph"/>
              <w:numPr>
                <w:ilvl w:val="0"/>
                <w:numId w:val="13"/>
              </w:numPr>
              <w:rPr>
                <w:rFonts w:ascii="Arial" w:hAnsi="Arial" w:cs="Arial"/>
                <w:bCs/>
                <w:color w:val="000000"/>
                <w:sz w:val="20"/>
                <w:szCs w:val="20"/>
              </w:rPr>
            </w:pPr>
            <w:r w:rsidRPr="00E607D0">
              <w:rPr>
                <w:rFonts w:ascii="Arial" w:hAnsi="Arial" w:cs="Arial"/>
                <w:bCs/>
                <w:color w:val="000000"/>
                <w:sz w:val="20"/>
                <w:szCs w:val="20"/>
              </w:rPr>
              <w:t>TAB and BVB Trade Related Property Working Group</w:t>
            </w:r>
          </w:p>
        </w:tc>
        <w:tc>
          <w:tcPr>
            <w:tcW w:w="9923" w:type="dxa"/>
            <w:shd w:val="clear" w:color="auto" w:fill="FFC000"/>
          </w:tcPr>
          <w:p w14:paraId="410B354F" w14:textId="082769AB" w:rsidR="00EA54E1" w:rsidRDefault="008A3BE0" w:rsidP="00EA54E1">
            <w:pPr>
              <w:rPr>
                <w:rFonts w:ascii="Arial" w:hAnsi="Arial" w:cs="Arial"/>
                <w:i/>
                <w:iCs/>
                <w:color w:val="000000"/>
                <w:sz w:val="20"/>
                <w:szCs w:val="20"/>
              </w:rPr>
            </w:pPr>
            <w:r>
              <w:rPr>
                <w:rFonts w:ascii="Arial" w:hAnsi="Arial" w:cs="Arial"/>
                <w:i/>
                <w:iCs/>
                <w:color w:val="000000"/>
                <w:sz w:val="20"/>
                <w:szCs w:val="20"/>
              </w:rPr>
              <w:t>Discussed differences in BVB and TAB approaches and felt it related more to asset identification. Working group currently on sabbatical until IVS Exposure Draft completed.</w:t>
            </w:r>
          </w:p>
        </w:tc>
        <w:tc>
          <w:tcPr>
            <w:tcW w:w="1984" w:type="dxa"/>
            <w:shd w:val="clear" w:color="auto" w:fill="FFC000"/>
          </w:tcPr>
          <w:p w14:paraId="6608F1FC" w14:textId="77777777" w:rsidR="00EA54E1" w:rsidRDefault="00EA54E1" w:rsidP="00EA54E1">
            <w:pPr>
              <w:rPr>
                <w:rFonts w:ascii="Arial" w:eastAsia="Times New Roman" w:hAnsi="Arial" w:cs="Arial"/>
                <w:b/>
                <w:bCs/>
                <w:color w:val="000000"/>
                <w:sz w:val="20"/>
                <w:szCs w:val="20"/>
                <w:lang w:eastAsia="en-GB"/>
              </w:rPr>
            </w:pPr>
          </w:p>
          <w:p w14:paraId="00384C08" w14:textId="6EC7744E" w:rsidR="00EA54E1" w:rsidRDefault="008A3BE0" w:rsidP="00EA54E1">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Sabbatical</w:t>
            </w:r>
          </w:p>
        </w:tc>
      </w:tr>
      <w:tr w:rsidR="00EA54E1" w14:paraId="7144EC30" w14:textId="77777777" w:rsidTr="000756CD">
        <w:trPr>
          <w:gridAfter w:val="2"/>
          <w:wAfter w:w="3968" w:type="dxa"/>
        </w:trPr>
        <w:tc>
          <w:tcPr>
            <w:tcW w:w="2977" w:type="dxa"/>
            <w:shd w:val="clear" w:color="auto" w:fill="FFC000"/>
          </w:tcPr>
          <w:p w14:paraId="7195A483" w14:textId="77777777" w:rsidR="00EA54E1" w:rsidRDefault="00EA54E1" w:rsidP="00EA54E1">
            <w:pPr>
              <w:pStyle w:val="ListParagraph"/>
              <w:numPr>
                <w:ilvl w:val="0"/>
                <w:numId w:val="13"/>
              </w:numPr>
              <w:rPr>
                <w:rFonts w:ascii="Arial" w:hAnsi="Arial" w:cs="Arial"/>
                <w:bCs/>
                <w:color w:val="000000"/>
                <w:sz w:val="20"/>
                <w:szCs w:val="20"/>
              </w:rPr>
            </w:pPr>
            <w:r>
              <w:rPr>
                <w:rFonts w:ascii="Arial" w:hAnsi="Arial" w:cs="Arial"/>
                <w:bCs/>
                <w:color w:val="000000"/>
                <w:sz w:val="20"/>
                <w:szCs w:val="20"/>
              </w:rPr>
              <w:t>TAB Inventory Working Group</w:t>
            </w:r>
          </w:p>
        </w:tc>
        <w:tc>
          <w:tcPr>
            <w:tcW w:w="9923" w:type="dxa"/>
            <w:shd w:val="clear" w:color="auto" w:fill="FFC000"/>
          </w:tcPr>
          <w:p w14:paraId="14D520F5" w14:textId="380D0205" w:rsidR="00EA54E1" w:rsidRDefault="00EA54E1" w:rsidP="00EA54E1">
            <w:pPr>
              <w:rPr>
                <w:rFonts w:ascii="Arial" w:hAnsi="Arial" w:cs="Arial"/>
                <w:i/>
                <w:iCs/>
                <w:color w:val="000000"/>
                <w:sz w:val="20"/>
                <w:szCs w:val="20"/>
              </w:rPr>
            </w:pPr>
            <w:r>
              <w:rPr>
                <w:rFonts w:ascii="Arial" w:hAnsi="Arial" w:cs="Arial"/>
                <w:i/>
                <w:iCs/>
                <w:color w:val="000000"/>
                <w:sz w:val="20"/>
                <w:szCs w:val="20"/>
              </w:rPr>
              <w:t xml:space="preserve">Working group had first meeting and currently reviewing other standards and planning to draft perspectives paper illustrating the different perspectives when trade related property valuations </w:t>
            </w:r>
            <w:proofErr w:type="gramStart"/>
            <w:r>
              <w:rPr>
                <w:rFonts w:ascii="Arial" w:hAnsi="Arial" w:cs="Arial"/>
                <w:i/>
                <w:iCs/>
                <w:color w:val="000000"/>
                <w:sz w:val="20"/>
                <w:szCs w:val="20"/>
              </w:rPr>
              <w:t>are undertaken</w:t>
            </w:r>
            <w:proofErr w:type="gramEnd"/>
            <w:r>
              <w:rPr>
                <w:rFonts w:ascii="Arial" w:hAnsi="Arial" w:cs="Arial"/>
                <w:i/>
                <w:iCs/>
                <w:color w:val="000000"/>
                <w:sz w:val="20"/>
                <w:szCs w:val="20"/>
              </w:rPr>
              <w:t xml:space="preserve"> by different specialisms (i.e. business valuers, tangible assets valuer and trade related property valuers). Further to </w:t>
            </w:r>
            <w:r>
              <w:rPr>
                <w:rFonts w:ascii="Arial" w:hAnsi="Arial" w:cs="Arial"/>
                <w:i/>
                <w:iCs/>
                <w:color w:val="000000"/>
                <w:sz w:val="20"/>
                <w:szCs w:val="20"/>
              </w:rPr>
              <w:lastRenderedPageBreak/>
              <w:t>discussion, the working group feels the issue relates more to asset identification than to the valuation approaches adopted.</w:t>
            </w:r>
            <w:r w:rsidR="008A3BE0">
              <w:rPr>
                <w:rFonts w:ascii="Arial" w:hAnsi="Arial" w:cs="Arial"/>
                <w:i/>
                <w:iCs/>
                <w:color w:val="000000"/>
                <w:sz w:val="20"/>
                <w:szCs w:val="20"/>
              </w:rPr>
              <w:t xml:space="preserve"> Working group currently on sabbatical until IVS Exposure Draft completed.</w:t>
            </w:r>
          </w:p>
          <w:p w14:paraId="4F5E066F" w14:textId="77777777" w:rsidR="00EA54E1" w:rsidRDefault="00EA54E1" w:rsidP="00EA54E1">
            <w:pPr>
              <w:rPr>
                <w:rFonts w:ascii="Arial" w:hAnsi="Arial" w:cs="Arial"/>
                <w:i/>
                <w:iCs/>
                <w:color w:val="000000"/>
                <w:sz w:val="20"/>
                <w:szCs w:val="20"/>
              </w:rPr>
            </w:pPr>
          </w:p>
        </w:tc>
        <w:tc>
          <w:tcPr>
            <w:tcW w:w="1984" w:type="dxa"/>
            <w:shd w:val="clear" w:color="auto" w:fill="FFC000"/>
          </w:tcPr>
          <w:p w14:paraId="6529A956" w14:textId="77777777" w:rsidR="00EA54E1" w:rsidRDefault="00EA54E1" w:rsidP="00EA54E1">
            <w:pPr>
              <w:jc w:val="center"/>
              <w:rPr>
                <w:rFonts w:ascii="Arial" w:eastAsia="Times New Roman" w:hAnsi="Arial" w:cs="Arial"/>
                <w:i/>
                <w:iCs/>
                <w:color w:val="000000"/>
                <w:sz w:val="20"/>
                <w:szCs w:val="20"/>
                <w:lang w:eastAsia="en-GB"/>
              </w:rPr>
            </w:pPr>
          </w:p>
          <w:p w14:paraId="107B9D0E" w14:textId="61330970" w:rsidR="00EA54E1" w:rsidRDefault="008A3BE0" w:rsidP="00EA54E1">
            <w:pPr>
              <w:jc w:val="center"/>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 xml:space="preserve">Sabbatical </w:t>
            </w:r>
          </w:p>
        </w:tc>
      </w:tr>
    </w:tbl>
    <w:p w14:paraId="0117DD85" w14:textId="2592FEED" w:rsidR="00A20986" w:rsidRDefault="00A20986" w:rsidP="00A20986">
      <w:pPr>
        <w:rPr>
          <w:rFonts w:ascii="Helvetica" w:eastAsia="Times New Roman" w:hAnsi="Helvetica" w:cs="Times New Roman"/>
          <w:b/>
          <w:bCs/>
          <w:color w:val="000000"/>
          <w:sz w:val="18"/>
          <w:szCs w:val="18"/>
          <w:lang w:eastAsia="en-GB"/>
        </w:rPr>
      </w:pPr>
    </w:p>
    <w:p w14:paraId="4D52753E" w14:textId="77777777" w:rsidR="00A20986" w:rsidRPr="001C1395" w:rsidRDefault="00A20986" w:rsidP="00583B2F">
      <w:pPr>
        <w:rPr>
          <w:rFonts w:ascii="Helvetica" w:eastAsia="Times New Roman" w:hAnsi="Helvetica" w:cs="Times New Roman"/>
          <w:b/>
          <w:bCs/>
          <w:color w:val="000000"/>
          <w:sz w:val="18"/>
          <w:szCs w:val="18"/>
          <w:lang w:eastAsia="en-GB"/>
        </w:rPr>
      </w:pPr>
    </w:p>
    <w:sectPr w:rsidR="00A20986" w:rsidRPr="001C1395" w:rsidSect="00434470">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ED4"/>
    <w:multiLevelType w:val="multilevel"/>
    <w:tmpl w:val="F6D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9CC"/>
    <w:multiLevelType w:val="hybridMultilevel"/>
    <w:tmpl w:val="EA4E44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5B6234"/>
    <w:multiLevelType w:val="hybridMultilevel"/>
    <w:tmpl w:val="682E4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8BB4165"/>
    <w:multiLevelType w:val="hybridMultilevel"/>
    <w:tmpl w:val="EA4E44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90D02E2"/>
    <w:multiLevelType w:val="hybridMultilevel"/>
    <w:tmpl w:val="09C8886E"/>
    <w:lvl w:ilvl="0" w:tplc="8F9E3ED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F653C"/>
    <w:multiLevelType w:val="multilevel"/>
    <w:tmpl w:val="10E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A58EC"/>
    <w:multiLevelType w:val="hybridMultilevel"/>
    <w:tmpl w:val="EA4E44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034C0A"/>
    <w:multiLevelType w:val="hybridMultilevel"/>
    <w:tmpl w:val="E8C0C09C"/>
    <w:lvl w:ilvl="0" w:tplc="BFEC665E">
      <w:start w:val="1"/>
      <w:numFmt w:val="decimal"/>
      <w:lvlText w:val="%1)"/>
      <w:lvlJc w:val="left"/>
      <w:pPr>
        <w:ind w:left="360" w:hanging="360"/>
      </w:pPr>
      <w:rPr>
        <w:rFonts w:hint="default"/>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776B4C"/>
    <w:multiLevelType w:val="multilevel"/>
    <w:tmpl w:val="FEE4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650C5"/>
    <w:multiLevelType w:val="hybridMultilevel"/>
    <w:tmpl w:val="BEC4F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4957FCF"/>
    <w:multiLevelType w:val="hybridMultilevel"/>
    <w:tmpl w:val="EA4E4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2255BA"/>
    <w:multiLevelType w:val="multilevel"/>
    <w:tmpl w:val="35B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84E2B"/>
    <w:multiLevelType w:val="hybridMultilevel"/>
    <w:tmpl w:val="11DA39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8"/>
  </w:num>
  <w:num w:numId="3">
    <w:abstractNumId w:val="5"/>
  </w:num>
  <w:num w:numId="4">
    <w:abstractNumId w:val="11"/>
  </w:num>
  <w:num w:numId="5">
    <w:abstractNumId w:val="4"/>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0"/>
  </w:num>
  <w:num w:numId="10">
    <w:abstractNumId w:val="7"/>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E3"/>
    <w:rsid w:val="000525E9"/>
    <w:rsid w:val="00053044"/>
    <w:rsid w:val="000565C1"/>
    <w:rsid w:val="00060B56"/>
    <w:rsid w:val="000A1F4D"/>
    <w:rsid w:val="0015074D"/>
    <w:rsid w:val="001678E3"/>
    <w:rsid w:val="00174357"/>
    <w:rsid w:val="001835D5"/>
    <w:rsid w:val="001C1395"/>
    <w:rsid w:val="001C2C10"/>
    <w:rsid w:val="001C6A7D"/>
    <w:rsid w:val="00212529"/>
    <w:rsid w:val="002261D5"/>
    <w:rsid w:val="00227B0F"/>
    <w:rsid w:val="00266821"/>
    <w:rsid w:val="00275E96"/>
    <w:rsid w:val="002C5F4E"/>
    <w:rsid w:val="002C646C"/>
    <w:rsid w:val="003163C5"/>
    <w:rsid w:val="003474EE"/>
    <w:rsid w:val="00417933"/>
    <w:rsid w:val="00434470"/>
    <w:rsid w:val="00436E12"/>
    <w:rsid w:val="004777F1"/>
    <w:rsid w:val="004A5073"/>
    <w:rsid w:val="005215D4"/>
    <w:rsid w:val="00546A34"/>
    <w:rsid w:val="00583B2F"/>
    <w:rsid w:val="005A6D59"/>
    <w:rsid w:val="00604CC4"/>
    <w:rsid w:val="006431C1"/>
    <w:rsid w:val="00644301"/>
    <w:rsid w:val="00657682"/>
    <w:rsid w:val="0067017B"/>
    <w:rsid w:val="00692E29"/>
    <w:rsid w:val="006D5821"/>
    <w:rsid w:val="006F6CDF"/>
    <w:rsid w:val="0071539E"/>
    <w:rsid w:val="007404B9"/>
    <w:rsid w:val="00747BDB"/>
    <w:rsid w:val="007544B1"/>
    <w:rsid w:val="00756952"/>
    <w:rsid w:val="00757243"/>
    <w:rsid w:val="007704B3"/>
    <w:rsid w:val="0079670A"/>
    <w:rsid w:val="0083256A"/>
    <w:rsid w:val="008327F7"/>
    <w:rsid w:val="008904B3"/>
    <w:rsid w:val="00896C03"/>
    <w:rsid w:val="008A3BE0"/>
    <w:rsid w:val="008A5118"/>
    <w:rsid w:val="008E5907"/>
    <w:rsid w:val="00927A70"/>
    <w:rsid w:val="00970A21"/>
    <w:rsid w:val="009C09B1"/>
    <w:rsid w:val="009D1311"/>
    <w:rsid w:val="009D4C02"/>
    <w:rsid w:val="00A20986"/>
    <w:rsid w:val="00A4682D"/>
    <w:rsid w:val="00A60027"/>
    <w:rsid w:val="00A723B9"/>
    <w:rsid w:val="00A729DA"/>
    <w:rsid w:val="00A73BB1"/>
    <w:rsid w:val="00AC66BB"/>
    <w:rsid w:val="00AE2423"/>
    <w:rsid w:val="00AF4939"/>
    <w:rsid w:val="00B225BC"/>
    <w:rsid w:val="00B305A3"/>
    <w:rsid w:val="00B4200A"/>
    <w:rsid w:val="00B535F3"/>
    <w:rsid w:val="00BC02C9"/>
    <w:rsid w:val="00BC25D7"/>
    <w:rsid w:val="00BD1ADA"/>
    <w:rsid w:val="00C05D67"/>
    <w:rsid w:val="00C16AEE"/>
    <w:rsid w:val="00C34DAA"/>
    <w:rsid w:val="00C53A21"/>
    <w:rsid w:val="00C90A07"/>
    <w:rsid w:val="00CD641B"/>
    <w:rsid w:val="00D00556"/>
    <w:rsid w:val="00DD3590"/>
    <w:rsid w:val="00DF6C20"/>
    <w:rsid w:val="00E40128"/>
    <w:rsid w:val="00E607D0"/>
    <w:rsid w:val="00E62181"/>
    <w:rsid w:val="00E91EC7"/>
    <w:rsid w:val="00EA54E1"/>
    <w:rsid w:val="00EE1EB0"/>
    <w:rsid w:val="00EE5464"/>
    <w:rsid w:val="00EF2AEA"/>
    <w:rsid w:val="00F04926"/>
    <w:rsid w:val="00F66F84"/>
    <w:rsid w:val="00F804B4"/>
    <w:rsid w:val="00F8531F"/>
    <w:rsid w:val="00F912D5"/>
    <w:rsid w:val="00F934EB"/>
    <w:rsid w:val="00FD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4D0A"/>
  <w15:chartTrackingRefBased/>
  <w15:docId w15:val="{893AA30F-5B54-B24A-96BF-82A8346A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95"/>
    <w:pPr>
      <w:ind w:left="720"/>
      <w:contextualSpacing/>
    </w:pPr>
  </w:style>
  <w:style w:type="table" w:styleId="TableGrid">
    <w:name w:val="Table Grid"/>
    <w:basedOn w:val="TableNormal"/>
    <w:uiPriority w:val="39"/>
    <w:rsid w:val="0089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2866">
      <w:bodyDiv w:val="1"/>
      <w:marLeft w:val="0"/>
      <w:marRight w:val="0"/>
      <w:marTop w:val="0"/>
      <w:marBottom w:val="0"/>
      <w:divBdr>
        <w:top w:val="none" w:sz="0" w:space="0" w:color="auto"/>
        <w:left w:val="none" w:sz="0" w:space="0" w:color="auto"/>
        <w:bottom w:val="none" w:sz="0" w:space="0" w:color="auto"/>
        <w:right w:val="none" w:sz="0" w:space="0" w:color="auto"/>
      </w:divBdr>
      <w:divsChild>
        <w:div w:id="685910602">
          <w:marLeft w:val="0"/>
          <w:marRight w:val="0"/>
          <w:marTop w:val="0"/>
          <w:marBottom w:val="0"/>
          <w:divBdr>
            <w:top w:val="none" w:sz="0" w:space="0" w:color="auto"/>
            <w:left w:val="none" w:sz="0" w:space="0" w:color="auto"/>
            <w:bottom w:val="none" w:sz="0" w:space="0" w:color="auto"/>
            <w:right w:val="none" w:sz="0" w:space="0" w:color="auto"/>
          </w:divBdr>
        </w:div>
        <w:div w:id="2015300562">
          <w:marLeft w:val="0"/>
          <w:marRight w:val="0"/>
          <w:marTop w:val="0"/>
          <w:marBottom w:val="0"/>
          <w:divBdr>
            <w:top w:val="none" w:sz="0" w:space="0" w:color="auto"/>
            <w:left w:val="none" w:sz="0" w:space="0" w:color="auto"/>
            <w:bottom w:val="none" w:sz="0" w:space="0" w:color="auto"/>
            <w:right w:val="none" w:sz="0" w:space="0" w:color="auto"/>
          </w:divBdr>
        </w:div>
        <w:div w:id="505217925">
          <w:marLeft w:val="0"/>
          <w:marRight w:val="0"/>
          <w:marTop w:val="0"/>
          <w:marBottom w:val="0"/>
          <w:divBdr>
            <w:top w:val="none" w:sz="0" w:space="0" w:color="auto"/>
            <w:left w:val="none" w:sz="0" w:space="0" w:color="auto"/>
            <w:bottom w:val="none" w:sz="0" w:space="0" w:color="auto"/>
            <w:right w:val="none" w:sz="0" w:space="0" w:color="auto"/>
          </w:divBdr>
          <w:divsChild>
            <w:div w:id="1334380939">
              <w:marLeft w:val="0"/>
              <w:marRight w:val="0"/>
              <w:marTop w:val="0"/>
              <w:marBottom w:val="0"/>
              <w:divBdr>
                <w:top w:val="none" w:sz="0" w:space="0" w:color="auto"/>
                <w:left w:val="none" w:sz="0" w:space="0" w:color="auto"/>
                <w:bottom w:val="none" w:sz="0" w:space="0" w:color="auto"/>
                <w:right w:val="none" w:sz="0" w:space="0" w:color="auto"/>
              </w:divBdr>
            </w:div>
          </w:divsChild>
        </w:div>
        <w:div w:id="296765480">
          <w:marLeft w:val="0"/>
          <w:marRight w:val="0"/>
          <w:marTop w:val="0"/>
          <w:marBottom w:val="0"/>
          <w:divBdr>
            <w:top w:val="none" w:sz="0" w:space="0" w:color="auto"/>
            <w:left w:val="none" w:sz="0" w:space="0" w:color="auto"/>
            <w:bottom w:val="none" w:sz="0" w:space="0" w:color="auto"/>
            <w:right w:val="none" w:sz="0" w:space="0" w:color="auto"/>
          </w:divBdr>
        </w:div>
        <w:div w:id="911047076">
          <w:marLeft w:val="0"/>
          <w:marRight w:val="0"/>
          <w:marTop w:val="0"/>
          <w:marBottom w:val="0"/>
          <w:divBdr>
            <w:top w:val="none" w:sz="0" w:space="0" w:color="auto"/>
            <w:left w:val="none" w:sz="0" w:space="0" w:color="auto"/>
            <w:bottom w:val="none" w:sz="0" w:space="0" w:color="auto"/>
            <w:right w:val="none" w:sz="0" w:space="0" w:color="auto"/>
          </w:divBdr>
        </w:div>
        <w:div w:id="714432591">
          <w:marLeft w:val="0"/>
          <w:marRight w:val="0"/>
          <w:marTop w:val="0"/>
          <w:marBottom w:val="0"/>
          <w:divBdr>
            <w:top w:val="none" w:sz="0" w:space="0" w:color="auto"/>
            <w:left w:val="none" w:sz="0" w:space="0" w:color="auto"/>
            <w:bottom w:val="none" w:sz="0" w:space="0" w:color="auto"/>
            <w:right w:val="none" w:sz="0" w:space="0" w:color="auto"/>
          </w:divBdr>
        </w:div>
        <w:div w:id="1666585724">
          <w:marLeft w:val="0"/>
          <w:marRight w:val="0"/>
          <w:marTop w:val="0"/>
          <w:marBottom w:val="0"/>
          <w:divBdr>
            <w:top w:val="none" w:sz="0" w:space="0" w:color="auto"/>
            <w:left w:val="none" w:sz="0" w:space="0" w:color="auto"/>
            <w:bottom w:val="none" w:sz="0" w:space="0" w:color="auto"/>
            <w:right w:val="none" w:sz="0" w:space="0" w:color="auto"/>
          </w:divBdr>
        </w:div>
        <w:div w:id="1966155840">
          <w:marLeft w:val="0"/>
          <w:marRight w:val="0"/>
          <w:marTop w:val="0"/>
          <w:marBottom w:val="0"/>
          <w:divBdr>
            <w:top w:val="none" w:sz="0" w:space="0" w:color="auto"/>
            <w:left w:val="none" w:sz="0" w:space="0" w:color="auto"/>
            <w:bottom w:val="none" w:sz="0" w:space="0" w:color="auto"/>
            <w:right w:val="none" w:sz="0" w:space="0" w:color="auto"/>
          </w:divBdr>
        </w:div>
        <w:div w:id="963117992">
          <w:marLeft w:val="0"/>
          <w:marRight w:val="0"/>
          <w:marTop w:val="0"/>
          <w:marBottom w:val="0"/>
          <w:divBdr>
            <w:top w:val="none" w:sz="0" w:space="0" w:color="auto"/>
            <w:left w:val="none" w:sz="0" w:space="0" w:color="auto"/>
            <w:bottom w:val="none" w:sz="0" w:space="0" w:color="auto"/>
            <w:right w:val="none" w:sz="0" w:space="0" w:color="auto"/>
          </w:divBdr>
        </w:div>
        <w:div w:id="1610553026">
          <w:marLeft w:val="0"/>
          <w:marRight w:val="0"/>
          <w:marTop w:val="0"/>
          <w:marBottom w:val="0"/>
          <w:divBdr>
            <w:top w:val="none" w:sz="0" w:space="0" w:color="auto"/>
            <w:left w:val="none" w:sz="0" w:space="0" w:color="auto"/>
            <w:bottom w:val="none" w:sz="0" w:space="0" w:color="auto"/>
            <w:right w:val="none" w:sz="0" w:space="0" w:color="auto"/>
          </w:divBdr>
        </w:div>
        <w:div w:id="2096631346">
          <w:marLeft w:val="0"/>
          <w:marRight w:val="0"/>
          <w:marTop w:val="0"/>
          <w:marBottom w:val="0"/>
          <w:divBdr>
            <w:top w:val="none" w:sz="0" w:space="0" w:color="auto"/>
            <w:left w:val="none" w:sz="0" w:space="0" w:color="auto"/>
            <w:bottom w:val="none" w:sz="0" w:space="0" w:color="auto"/>
            <w:right w:val="none" w:sz="0" w:space="0" w:color="auto"/>
          </w:divBdr>
          <w:divsChild>
            <w:div w:id="1118061613">
              <w:marLeft w:val="0"/>
              <w:marRight w:val="0"/>
              <w:marTop w:val="0"/>
              <w:marBottom w:val="0"/>
              <w:divBdr>
                <w:top w:val="none" w:sz="0" w:space="0" w:color="auto"/>
                <w:left w:val="none" w:sz="0" w:space="0" w:color="auto"/>
                <w:bottom w:val="none" w:sz="0" w:space="0" w:color="auto"/>
                <w:right w:val="none" w:sz="0" w:space="0" w:color="auto"/>
              </w:divBdr>
            </w:div>
            <w:div w:id="2094860532">
              <w:marLeft w:val="0"/>
              <w:marRight w:val="0"/>
              <w:marTop w:val="0"/>
              <w:marBottom w:val="0"/>
              <w:divBdr>
                <w:top w:val="none" w:sz="0" w:space="0" w:color="auto"/>
                <w:left w:val="none" w:sz="0" w:space="0" w:color="auto"/>
                <w:bottom w:val="none" w:sz="0" w:space="0" w:color="auto"/>
                <w:right w:val="none" w:sz="0" w:space="0" w:color="auto"/>
              </w:divBdr>
            </w:div>
            <w:div w:id="303895509">
              <w:marLeft w:val="0"/>
              <w:marRight w:val="0"/>
              <w:marTop w:val="0"/>
              <w:marBottom w:val="0"/>
              <w:divBdr>
                <w:top w:val="none" w:sz="0" w:space="0" w:color="auto"/>
                <w:left w:val="none" w:sz="0" w:space="0" w:color="auto"/>
                <w:bottom w:val="none" w:sz="0" w:space="0" w:color="auto"/>
                <w:right w:val="none" w:sz="0" w:space="0" w:color="auto"/>
              </w:divBdr>
            </w:div>
            <w:div w:id="15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DE90-01E9-4ACC-8CB7-07AB27E4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Aronsohn</dc:creator>
  <cp:keywords/>
  <dc:description/>
  <cp:lastModifiedBy>Alex</cp:lastModifiedBy>
  <cp:revision>2</cp:revision>
  <cp:lastPrinted>2021-10-12T09:26:00Z</cp:lastPrinted>
  <dcterms:created xsi:type="dcterms:W3CDTF">2023-04-18T11:49:00Z</dcterms:created>
  <dcterms:modified xsi:type="dcterms:W3CDTF">2023-04-18T11:49:00Z</dcterms:modified>
</cp:coreProperties>
</file>