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6850C" w14:textId="77777777" w:rsidR="007C7A4E" w:rsidRDefault="00F92E61" w:rsidP="00863914">
      <w:pPr>
        <w:rPr>
          <w:rFonts w:ascii="Arial Narrow" w:hAnsi="Arial Narrow"/>
          <w:b/>
          <w:bCs/>
          <w:sz w:val="32"/>
          <w:szCs w:val="32"/>
        </w:rPr>
      </w:pPr>
      <w:r w:rsidRPr="00423F34">
        <w:rPr>
          <w:rFonts w:ascii="Arial Narrow" w:hAnsi="Arial Narrow"/>
          <w:b/>
          <w:bCs/>
          <w:sz w:val="32"/>
          <w:szCs w:val="32"/>
        </w:rPr>
        <w:t xml:space="preserve">Valuation of </w:t>
      </w:r>
      <w:r w:rsidR="00863914" w:rsidRPr="00423F34">
        <w:rPr>
          <w:rFonts w:ascii="Arial Narrow" w:hAnsi="Arial Narrow"/>
          <w:b/>
          <w:bCs/>
          <w:sz w:val="32"/>
          <w:szCs w:val="32"/>
        </w:rPr>
        <w:t>assets in a listed versus unlisted environment:</w:t>
      </w:r>
    </w:p>
    <w:p w14:paraId="0539D32C" w14:textId="20A43D75" w:rsidR="00F92E61" w:rsidRPr="007C7A4E" w:rsidRDefault="00393837" w:rsidP="00863914">
      <w:pPr>
        <w:rPr>
          <w:rFonts w:ascii="Arial Narrow" w:hAnsi="Arial Narrow"/>
          <w:i/>
          <w:iCs/>
          <w:sz w:val="32"/>
          <w:szCs w:val="32"/>
        </w:rPr>
      </w:pPr>
      <w:r w:rsidRPr="007C7A4E">
        <w:rPr>
          <w:rFonts w:ascii="Arial Narrow" w:hAnsi="Arial Narrow"/>
          <w:i/>
          <w:iCs/>
          <w:sz w:val="32"/>
          <w:szCs w:val="32"/>
        </w:rPr>
        <w:t>Right</w:t>
      </w:r>
      <w:r w:rsidR="00863914" w:rsidRPr="007C7A4E">
        <w:rPr>
          <w:rFonts w:ascii="Arial Narrow" w:hAnsi="Arial Narrow"/>
          <w:i/>
          <w:iCs/>
          <w:sz w:val="32"/>
          <w:szCs w:val="32"/>
        </w:rPr>
        <w:t xml:space="preserve"> to query the delta, but time to acknowledge the differences</w:t>
      </w:r>
    </w:p>
    <w:p w14:paraId="06004F96" w14:textId="23B4D30A" w:rsidR="00F92E61" w:rsidRDefault="00F92E61" w:rsidP="0026757D">
      <w:pPr>
        <w:rPr>
          <w:rFonts w:ascii="Arial Narrow" w:hAnsi="Arial Narrow"/>
        </w:rPr>
      </w:pPr>
    </w:p>
    <w:sdt>
      <w:sdtPr>
        <w:rPr>
          <w:rFonts w:asciiTheme="minorHAnsi" w:eastAsiaTheme="minorHAnsi" w:hAnsiTheme="minorHAnsi" w:cstheme="minorBidi"/>
          <w:color w:val="auto"/>
          <w:sz w:val="22"/>
          <w:szCs w:val="22"/>
          <w:lang w:val="en-AU"/>
        </w:rPr>
        <w:id w:val="-1730223254"/>
        <w:docPartObj>
          <w:docPartGallery w:val="Table of Contents"/>
          <w:docPartUnique/>
        </w:docPartObj>
      </w:sdtPr>
      <w:sdtEndPr>
        <w:rPr>
          <w:b/>
          <w:bCs/>
          <w:noProof/>
        </w:rPr>
      </w:sdtEndPr>
      <w:sdtContent>
        <w:p w14:paraId="502C1C50" w14:textId="60E5014C" w:rsidR="0026757D" w:rsidRPr="0026757D" w:rsidRDefault="0026757D">
          <w:pPr>
            <w:pStyle w:val="a9"/>
            <w:rPr>
              <w:rFonts w:ascii="Arial Narrow" w:hAnsi="Arial Narrow"/>
              <w:b/>
              <w:bCs/>
              <w:color w:val="000000" w:themeColor="text1"/>
              <w:sz w:val="22"/>
              <w:szCs w:val="22"/>
            </w:rPr>
          </w:pPr>
          <w:r w:rsidRPr="0026757D">
            <w:rPr>
              <w:rFonts w:ascii="Arial Narrow" w:hAnsi="Arial Narrow"/>
              <w:b/>
              <w:bCs/>
              <w:color w:val="000000" w:themeColor="text1"/>
              <w:sz w:val="22"/>
              <w:szCs w:val="22"/>
            </w:rPr>
            <w:t>Table of Contents</w:t>
          </w:r>
        </w:p>
        <w:p w14:paraId="042119CC" w14:textId="24EC5681" w:rsidR="005D63DF" w:rsidRDefault="0026757D">
          <w:pPr>
            <w:pStyle w:val="TOC1"/>
            <w:tabs>
              <w:tab w:val="left" w:pos="440"/>
              <w:tab w:val="right" w:leader="dot" w:pos="9016"/>
            </w:tabs>
            <w:rPr>
              <w:rFonts w:eastAsiaTheme="minorEastAsia"/>
              <w:noProof/>
              <w:lang w:eastAsia="en-AU"/>
            </w:rPr>
          </w:pPr>
          <w:r>
            <w:fldChar w:fldCharType="begin"/>
          </w:r>
          <w:r>
            <w:instrText xml:space="preserve"> TOC \o "1-3" \h \z \u </w:instrText>
          </w:r>
          <w:r>
            <w:fldChar w:fldCharType="separate"/>
          </w:r>
          <w:hyperlink w:anchor="_Toc134193119" w:history="1">
            <w:r w:rsidR="005D63DF" w:rsidRPr="008373FC">
              <w:rPr>
                <w:rStyle w:val="Hyperlink"/>
                <w:rFonts w:ascii="Arial Narrow" w:hAnsi="Arial Narrow"/>
                <w:b/>
                <w:bCs/>
                <w:noProof/>
              </w:rPr>
              <w:t>1.</w:t>
            </w:r>
            <w:r w:rsidR="005D63DF">
              <w:rPr>
                <w:rFonts w:eastAsiaTheme="minorEastAsia"/>
                <w:noProof/>
                <w:lang w:eastAsia="en-AU"/>
              </w:rPr>
              <w:tab/>
            </w:r>
            <w:r w:rsidR="005D63DF" w:rsidRPr="008373FC">
              <w:rPr>
                <w:rStyle w:val="Hyperlink"/>
                <w:rFonts w:ascii="Arial Narrow" w:hAnsi="Arial Narrow"/>
                <w:b/>
                <w:bCs/>
                <w:noProof/>
              </w:rPr>
              <w:t>Background</w:t>
            </w:r>
            <w:r w:rsidR="005D63DF">
              <w:rPr>
                <w:noProof/>
                <w:webHidden/>
              </w:rPr>
              <w:tab/>
            </w:r>
            <w:r w:rsidR="005D63DF">
              <w:rPr>
                <w:noProof/>
                <w:webHidden/>
              </w:rPr>
              <w:fldChar w:fldCharType="begin"/>
            </w:r>
            <w:r w:rsidR="005D63DF">
              <w:rPr>
                <w:noProof/>
                <w:webHidden/>
              </w:rPr>
              <w:instrText xml:space="preserve"> PAGEREF _Toc134193119 \h </w:instrText>
            </w:r>
            <w:r w:rsidR="005D63DF">
              <w:rPr>
                <w:noProof/>
                <w:webHidden/>
              </w:rPr>
            </w:r>
            <w:r w:rsidR="005D63DF">
              <w:rPr>
                <w:noProof/>
                <w:webHidden/>
              </w:rPr>
              <w:fldChar w:fldCharType="separate"/>
            </w:r>
            <w:r w:rsidR="005D63DF">
              <w:rPr>
                <w:noProof/>
                <w:webHidden/>
              </w:rPr>
              <w:t>1</w:t>
            </w:r>
            <w:r w:rsidR="005D63DF">
              <w:rPr>
                <w:noProof/>
                <w:webHidden/>
              </w:rPr>
              <w:fldChar w:fldCharType="end"/>
            </w:r>
          </w:hyperlink>
        </w:p>
        <w:p w14:paraId="04E7659A" w14:textId="79F6E2D8" w:rsidR="005D63DF" w:rsidRDefault="00000000">
          <w:pPr>
            <w:pStyle w:val="TOC1"/>
            <w:tabs>
              <w:tab w:val="left" w:pos="440"/>
              <w:tab w:val="right" w:leader="dot" w:pos="9016"/>
            </w:tabs>
            <w:rPr>
              <w:rFonts w:eastAsiaTheme="minorEastAsia"/>
              <w:noProof/>
              <w:lang w:eastAsia="en-AU"/>
            </w:rPr>
          </w:pPr>
          <w:hyperlink w:anchor="_Toc134193120" w:history="1">
            <w:r w:rsidR="005D63DF" w:rsidRPr="008373FC">
              <w:rPr>
                <w:rStyle w:val="Hyperlink"/>
                <w:rFonts w:ascii="Arial Narrow" w:hAnsi="Arial Narrow"/>
                <w:b/>
                <w:bCs/>
                <w:noProof/>
              </w:rPr>
              <w:t>2.</w:t>
            </w:r>
            <w:r w:rsidR="005D63DF">
              <w:rPr>
                <w:rFonts w:eastAsiaTheme="minorEastAsia"/>
                <w:noProof/>
                <w:lang w:eastAsia="en-AU"/>
              </w:rPr>
              <w:tab/>
            </w:r>
            <w:r w:rsidR="005D63DF" w:rsidRPr="008373FC">
              <w:rPr>
                <w:rStyle w:val="Hyperlink"/>
                <w:rFonts w:ascii="Arial Narrow" w:hAnsi="Arial Narrow"/>
                <w:b/>
                <w:bCs/>
                <w:noProof/>
              </w:rPr>
              <w:t>Problem statement</w:t>
            </w:r>
            <w:r w:rsidR="005D63DF">
              <w:rPr>
                <w:noProof/>
                <w:webHidden/>
              </w:rPr>
              <w:tab/>
            </w:r>
            <w:r w:rsidR="005D63DF">
              <w:rPr>
                <w:noProof/>
                <w:webHidden/>
              </w:rPr>
              <w:fldChar w:fldCharType="begin"/>
            </w:r>
            <w:r w:rsidR="005D63DF">
              <w:rPr>
                <w:noProof/>
                <w:webHidden/>
              </w:rPr>
              <w:instrText xml:space="preserve"> PAGEREF _Toc134193120 \h </w:instrText>
            </w:r>
            <w:r w:rsidR="005D63DF">
              <w:rPr>
                <w:noProof/>
                <w:webHidden/>
              </w:rPr>
            </w:r>
            <w:r w:rsidR="005D63DF">
              <w:rPr>
                <w:noProof/>
                <w:webHidden/>
              </w:rPr>
              <w:fldChar w:fldCharType="separate"/>
            </w:r>
            <w:r w:rsidR="005D63DF">
              <w:rPr>
                <w:noProof/>
                <w:webHidden/>
              </w:rPr>
              <w:t>2</w:t>
            </w:r>
            <w:r w:rsidR="005D63DF">
              <w:rPr>
                <w:noProof/>
                <w:webHidden/>
              </w:rPr>
              <w:fldChar w:fldCharType="end"/>
            </w:r>
          </w:hyperlink>
        </w:p>
        <w:p w14:paraId="3C318B27" w14:textId="7A31C8FD" w:rsidR="005D63DF" w:rsidRDefault="00000000">
          <w:pPr>
            <w:pStyle w:val="TOC1"/>
            <w:tabs>
              <w:tab w:val="left" w:pos="440"/>
              <w:tab w:val="right" w:leader="dot" w:pos="9016"/>
            </w:tabs>
            <w:rPr>
              <w:rFonts w:eastAsiaTheme="minorEastAsia"/>
              <w:noProof/>
              <w:lang w:eastAsia="en-AU"/>
            </w:rPr>
          </w:pPr>
          <w:hyperlink w:anchor="_Toc134193121" w:history="1">
            <w:r w:rsidR="005D63DF" w:rsidRPr="008373FC">
              <w:rPr>
                <w:rStyle w:val="Hyperlink"/>
                <w:rFonts w:ascii="Arial Narrow" w:hAnsi="Arial Narrow"/>
                <w:b/>
                <w:bCs/>
                <w:noProof/>
              </w:rPr>
              <w:t>3.</w:t>
            </w:r>
            <w:r w:rsidR="005D63DF">
              <w:rPr>
                <w:rFonts w:eastAsiaTheme="minorEastAsia"/>
                <w:noProof/>
                <w:lang w:eastAsia="en-AU"/>
              </w:rPr>
              <w:tab/>
            </w:r>
            <w:r w:rsidR="005D63DF" w:rsidRPr="008373FC">
              <w:rPr>
                <w:rStyle w:val="Hyperlink"/>
                <w:rFonts w:ascii="Arial Narrow" w:hAnsi="Arial Narrow"/>
                <w:b/>
                <w:bCs/>
                <w:noProof/>
              </w:rPr>
              <w:t>What are the consequences for the difference and why does it even matter?</w:t>
            </w:r>
            <w:r w:rsidR="005D63DF">
              <w:rPr>
                <w:noProof/>
                <w:webHidden/>
              </w:rPr>
              <w:tab/>
            </w:r>
            <w:r w:rsidR="005D63DF">
              <w:rPr>
                <w:noProof/>
                <w:webHidden/>
              </w:rPr>
              <w:fldChar w:fldCharType="begin"/>
            </w:r>
            <w:r w:rsidR="005D63DF">
              <w:rPr>
                <w:noProof/>
                <w:webHidden/>
              </w:rPr>
              <w:instrText xml:space="preserve"> PAGEREF _Toc134193121 \h </w:instrText>
            </w:r>
            <w:r w:rsidR="005D63DF">
              <w:rPr>
                <w:noProof/>
                <w:webHidden/>
              </w:rPr>
            </w:r>
            <w:r w:rsidR="005D63DF">
              <w:rPr>
                <w:noProof/>
                <w:webHidden/>
              </w:rPr>
              <w:fldChar w:fldCharType="separate"/>
            </w:r>
            <w:r w:rsidR="005D63DF">
              <w:rPr>
                <w:noProof/>
                <w:webHidden/>
              </w:rPr>
              <w:t>2</w:t>
            </w:r>
            <w:r w:rsidR="005D63DF">
              <w:rPr>
                <w:noProof/>
                <w:webHidden/>
              </w:rPr>
              <w:fldChar w:fldCharType="end"/>
            </w:r>
          </w:hyperlink>
        </w:p>
        <w:p w14:paraId="53B43893" w14:textId="004CF918" w:rsidR="005D63DF" w:rsidRDefault="00000000">
          <w:pPr>
            <w:pStyle w:val="TOC1"/>
            <w:tabs>
              <w:tab w:val="left" w:pos="440"/>
              <w:tab w:val="right" w:leader="dot" w:pos="9016"/>
            </w:tabs>
            <w:rPr>
              <w:rFonts w:eastAsiaTheme="minorEastAsia"/>
              <w:noProof/>
              <w:lang w:eastAsia="en-AU"/>
            </w:rPr>
          </w:pPr>
          <w:hyperlink w:anchor="_Toc134193122" w:history="1">
            <w:r w:rsidR="005D63DF" w:rsidRPr="008373FC">
              <w:rPr>
                <w:rStyle w:val="Hyperlink"/>
                <w:rFonts w:ascii="Arial Narrow" w:hAnsi="Arial Narrow"/>
                <w:b/>
                <w:bCs/>
                <w:noProof/>
              </w:rPr>
              <w:t>4.</w:t>
            </w:r>
            <w:r w:rsidR="005D63DF">
              <w:rPr>
                <w:rFonts w:eastAsiaTheme="minorEastAsia"/>
                <w:noProof/>
                <w:lang w:eastAsia="en-AU"/>
              </w:rPr>
              <w:tab/>
            </w:r>
            <w:r w:rsidR="005D63DF" w:rsidRPr="008373FC">
              <w:rPr>
                <w:rStyle w:val="Hyperlink"/>
                <w:rFonts w:ascii="Arial Narrow" w:hAnsi="Arial Narrow"/>
                <w:b/>
                <w:bCs/>
                <w:noProof/>
              </w:rPr>
              <w:t>Characteristics of each asset class</w:t>
            </w:r>
            <w:r w:rsidR="005D63DF">
              <w:rPr>
                <w:noProof/>
                <w:webHidden/>
              </w:rPr>
              <w:tab/>
            </w:r>
            <w:r w:rsidR="005D63DF">
              <w:rPr>
                <w:noProof/>
                <w:webHidden/>
              </w:rPr>
              <w:fldChar w:fldCharType="begin"/>
            </w:r>
            <w:r w:rsidR="005D63DF">
              <w:rPr>
                <w:noProof/>
                <w:webHidden/>
              </w:rPr>
              <w:instrText xml:space="preserve"> PAGEREF _Toc134193122 \h </w:instrText>
            </w:r>
            <w:r w:rsidR="005D63DF">
              <w:rPr>
                <w:noProof/>
                <w:webHidden/>
              </w:rPr>
            </w:r>
            <w:r w:rsidR="005D63DF">
              <w:rPr>
                <w:noProof/>
                <w:webHidden/>
              </w:rPr>
              <w:fldChar w:fldCharType="separate"/>
            </w:r>
            <w:r w:rsidR="005D63DF">
              <w:rPr>
                <w:noProof/>
                <w:webHidden/>
              </w:rPr>
              <w:t>3</w:t>
            </w:r>
            <w:r w:rsidR="005D63DF">
              <w:rPr>
                <w:noProof/>
                <w:webHidden/>
              </w:rPr>
              <w:fldChar w:fldCharType="end"/>
            </w:r>
          </w:hyperlink>
        </w:p>
        <w:p w14:paraId="43EB3E56" w14:textId="08D00FE8" w:rsidR="005D63DF" w:rsidRDefault="00000000">
          <w:pPr>
            <w:pStyle w:val="TOC1"/>
            <w:tabs>
              <w:tab w:val="left" w:pos="440"/>
              <w:tab w:val="right" w:leader="dot" w:pos="9016"/>
            </w:tabs>
            <w:rPr>
              <w:rFonts w:eastAsiaTheme="minorEastAsia"/>
              <w:noProof/>
              <w:lang w:eastAsia="en-AU"/>
            </w:rPr>
          </w:pPr>
          <w:hyperlink w:anchor="_Toc134193123" w:history="1">
            <w:r w:rsidR="005D63DF" w:rsidRPr="008373FC">
              <w:rPr>
                <w:rStyle w:val="Hyperlink"/>
                <w:rFonts w:ascii="Arial Narrow" w:hAnsi="Arial Narrow"/>
                <w:b/>
                <w:bCs/>
                <w:noProof/>
              </w:rPr>
              <w:t>5.</w:t>
            </w:r>
            <w:r w:rsidR="005D63DF">
              <w:rPr>
                <w:rFonts w:eastAsiaTheme="minorEastAsia"/>
                <w:noProof/>
                <w:lang w:eastAsia="en-AU"/>
              </w:rPr>
              <w:tab/>
            </w:r>
            <w:r w:rsidR="005D63DF" w:rsidRPr="008373FC">
              <w:rPr>
                <w:rStyle w:val="Hyperlink"/>
                <w:rFonts w:ascii="Arial Narrow" w:hAnsi="Arial Narrow"/>
                <w:b/>
                <w:bCs/>
                <w:noProof/>
              </w:rPr>
              <w:t>Criticism of the valuations that underpin NAV’s</w:t>
            </w:r>
            <w:r w:rsidR="005D63DF">
              <w:rPr>
                <w:noProof/>
                <w:webHidden/>
              </w:rPr>
              <w:tab/>
            </w:r>
            <w:r w:rsidR="005D63DF">
              <w:rPr>
                <w:noProof/>
                <w:webHidden/>
              </w:rPr>
              <w:fldChar w:fldCharType="begin"/>
            </w:r>
            <w:r w:rsidR="005D63DF">
              <w:rPr>
                <w:noProof/>
                <w:webHidden/>
              </w:rPr>
              <w:instrText xml:space="preserve"> PAGEREF _Toc134193123 \h </w:instrText>
            </w:r>
            <w:r w:rsidR="005D63DF">
              <w:rPr>
                <w:noProof/>
                <w:webHidden/>
              </w:rPr>
            </w:r>
            <w:r w:rsidR="005D63DF">
              <w:rPr>
                <w:noProof/>
                <w:webHidden/>
              </w:rPr>
              <w:fldChar w:fldCharType="separate"/>
            </w:r>
            <w:r w:rsidR="005D63DF">
              <w:rPr>
                <w:noProof/>
                <w:webHidden/>
              </w:rPr>
              <w:t>4</w:t>
            </w:r>
            <w:r w:rsidR="005D63DF">
              <w:rPr>
                <w:noProof/>
                <w:webHidden/>
              </w:rPr>
              <w:fldChar w:fldCharType="end"/>
            </w:r>
          </w:hyperlink>
        </w:p>
        <w:p w14:paraId="32C34867" w14:textId="0B91F424" w:rsidR="005D63DF" w:rsidRDefault="00000000">
          <w:pPr>
            <w:pStyle w:val="TOC1"/>
            <w:tabs>
              <w:tab w:val="left" w:pos="440"/>
              <w:tab w:val="right" w:leader="dot" w:pos="9016"/>
            </w:tabs>
            <w:rPr>
              <w:rFonts w:eastAsiaTheme="minorEastAsia"/>
              <w:noProof/>
              <w:lang w:eastAsia="en-AU"/>
            </w:rPr>
          </w:pPr>
          <w:hyperlink w:anchor="_Toc134193124" w:history="1">
            <w:r w:rsidR="005D63DF" w:rsidRPr="008373FC">
              <w:rPr>
                <w:rStyle w:val="Hyperlink"/>
                <w:rFonts w:ascii="Arial Narrow" w:hAnsi="Arial Narrow"/>
                <w:b/>
                <w:bCs/>
                <w:noProof/>
              </w:rPr>
              <w:t>6.</w:t>
            </w:r>
            <w:r w:rsidR="005D63DF">
              <w:rPr>
                <w:rFonts w:eastAsiaTheme="minorEastAsia"/>
                <w:noProof/>
                <w:lang w:eastAsia="en-AU"/>
              </w:rPr>
              <w:tab/>
            </w:r>
            <w:r w:rsidR="005D63DF" w:rsidRPr="008373FC">
              <w:rPr>
                <w:rStyle w:val="Hyperlink"/>
                <w:rFonts w:ascii="Arial Narrow" w:hAnsi="Arial Narrow"/>
                <w:b/>
                <w:bCs/>
                <w:noProof/>
              </w:rPr>
              <w:t>Do listed markets always get it right?</w:t>
            </w:r>
            <w:r w:rsidR="005D63DF">
              <w:rPr>
                <w:noProof/>
                <w:webHidden/>
              </w:rPr>
              <w:tab/>
            </w:r>
            <w:r w:rsidR="005D63DF">
              <w:rPr>
                <w:noProof/>
                <w:webHidden/>
              </w:rPr>
              <w:fldChar w:fldCharType="begin"/>
            </w:r>
            <w:r w:rsidR="005D63DF">
              <w:rPr>
                <w:noProof/>
                <w:webHidden/>
              </w:rPr>
              <w:instrText xml:space="preserve"> PAGEREF _Toc134193124 \h </w:instrText>
            </w:r>
            <w:r w:rsidR="005D63DF">
              <w:rPr>
                <w:noProof/>
                <w:webHidden/>
              </w:rPr>
            </w:r>
            <w:r w:rsidR="005D63DF">
              <w:rPr>
                <w:noProof/>
                <w:webHidden/>
              </w:rPr>
              <w:fldChar w:fldCharType="separate"/>
            </w:r>
            <w:r w:rsidR="005D63DF">
              <w:rPr>
                <w:noProof/>
                <w:webHidden/>
              </w:rPr>
              <w:t>5</w:t>
            </w:r>
            <w:r w:rsidR="005D63DF">
              <w:rPr>
                <w:noProof/>
                <w:webHidden/>
              </w:rPr>
              <w:fldChar w:fldCharType="end"/>
            </w:r>
          </w:hyperlink>
        </w:p>
        <w:p w14:paraId="08BD651F" w14:textId="16F9FBA0" w:rsidR="005D63DF" w:rsidRDefault="00000000">
          <w:pPr>
            <w:pStyle w:val="TOC1"/>
            <w:tabs>
              <w:tab w:val="left" w:pos="440"/>
              <w:tab w:val="right" w:leader="dot" w:pos="9016"/>
            </w:tabs>
            <w:rPr>
              <w:rFonts w:eastAsiaTheme="minorEastAsia"/>
              <w:noProof/>
              <w:lang w:eastAsia="en-AU"/>
            </w:rPr>
          </w:pPr>
          <w:hyperlink w:anchor="_Toc134193125" w:history="1">
            <w:r w:rsidR="005D63DF" w:rsidRPr="008373FC">
              <w:rPr>
                <w:rStyle w:val="Hyperlink"/>
                <w:rFonts w:ascii="Arial Narrow" w:hAnsi="Arial Narrow"/>
                <w:b/>
                <w:bCs/>
                <w:noProof/>
              </w:rPr>
              <w:t>7.</w:t>
            </w:r>
            <w:r w:rsidR="005D63DF">
              <w:rPr>
                <w:rFonts w:eastAsiaTheme="minorEastAsia"/>
                <w:noProof/>
                <w:lang w:eastAsia="en-AU"/>
              </w:rPr>
              <w:tab/>
            </w:r>
            <w:r w:rsidR="005D63DF" w:rsidRPr="008373FC">
              <w:rPr>
                <w:rStyle w:val="Hyperlink"/>
                <w:rFonts w:ascii="Arial Narrow" w:hAnsi="Arial Narrow"/>
                <w:b/>
                <w:bCs/>
                <w:noProof/>
              </w:rPr>
              <w:t>Valid reasons as to why there may be a delta</w:t>
            </w:r>
            <w:r w:rsidR="005D63DF">
              <w:rPr>
                <w:noProof/>
                <w:webHidden/>
              </w:rPr>
              <w:tab/>
            </w:r>
            <w:r w:rsidR="005D63DF">
              <w:rPr>
                <w:noProof/>
                <w:webHidden/>
              </w:rPr>
              <w:fldChar w:fldCharType="begin"/>
            </w:r>
            <w:r w:rsidR="005D63DF">
              <w:rPr>
                <w:noProof/>
                <w:webHidden/>
              </w:rPr>
              <w:instrText xml:space="preserve"> PAGEREF _Toc134193125 \h </w:instrText>
            </w:r>
            <w:r w:rsidR="005D63DF">
              <w:rPr>
                <w:noProof/>
                <w:webHidden/>
              </w:rPr>
            </w:r>
            <w:r w:rsidR="005D63DF">
              <w:rPr>
                <w:noProof/>
                <w:webHidden/>
              </w:rPr>
              <w:fldChar w:fldCharType="separate"/>
            </w:r>
            <w:r w:rsidR="005D63DF">
              <w:rPr>
                <w:noProof/>
                <w:webHidden/>
              </w:rPr>
              <w:t>7</w:t>
            </w:r>
            <w:r w:rsidR="005D63DF">
              <w:rPr>
                <w:noProof/>
                <w:webHidden/>
              </w:rPr>
              <w:fldChar w:fldCharType="end"/>
            </w:r>
          </w:hyperlink>
        </w:p>
        <w:p w14:paraId="64DD1799" w14:textId="5F5DE04B" w:rsidR="005D63DF" w:rsidRDefault="00000000">
          <w:pPr>
            <w:pStyle w:val="TOC1"/>
            <w:tabs>
              <w:tab w:val="left" w:pos="440"/>
              <w:tab w:val="right" w:leader="dot" w:pos="9016"/>
            </w:tabs>
            <w:rPr>
              <w:rFonts w:eastAsiaTheme="minorEastAsia"/>
              <w:noProof/>
              <w:lang w:eastAsia="en-AU"/>
            </w:rPr>
          </w:pPr>
          <w:hyperlink w:anchor="_Toc134193126" w:history="1">
            <w:r w:rsidR="005D63DF" w:rsidRPr="008373FC">
              <w:rPr>
                <w:rStyle w:val="Hyperlink"/>
                <w:rFonts w:ascii="Arial Narrow" w:hAnsi="Arial Narrow"/>
                <w:b/>
                <w:bCs/>
                <w:noProof/>
              </w:rPr>
              <w:t>8.</w:t>
            </w:r>
            <w:r w:rsidR="005D63DF">
              <w:rPr>
                <w:rFonts w:eastAsiaTheme="minorEastAsia"/>
                <w:noProof/>
                <w:lang w:eastAsia="en-AU"/>
              </w:rPr>
              <w:tab/>
            </w:r>
            <w:r w:rsidR="005D63DF" w:rsidRPr="008373FC">
              <w:rPr>
                <w:rStyle w:val="Hyperlink"/>
                <w:rFonts w:ascii="Arial Narrow" w:hAnsi="Arial Narrow"/>
                <w:b/>
                <w:bCs/>
                <w:noProof/>
              </w:rPr>
              <w:t>Should valuations solely utilise an income approach to value assets in an unlisted environment?</w:t>
            </w:r>
            <w:r w:rsidR="005D63DF">
              <w:rPr>
                <w:noProof/>
                <w:webHidden/>
              </w:rPr>
              <w:tab/>
            </w:r>
            <w:r w:rsidR="005D63DF">
              <w:rPr>
                <w:noProof/>
                <w:webHidden/>
              </w:rPr>
              <w:fldChar w:fldCharType="begin"/>
            </w:r>
            <w:r w:rsidR="005D63DF">
              <w:rPr>
                <w:noProof/>
                <w:webHidden/>
              </w:rPr>
              <w:instrText xml:space="preserve"> PAGEREF _Toc134193126 \h </w:instrText>
            </w:r>
            <w:r w:rsidR="005D63DF">
              <w:rPr>
                <w:noProof/>
                <w:webHidden/>
              </w:rPr>
            </w:r>
            <w:r w:rsidR="005D63DF">
              <w:rPr>
                <w:noProof/>
                <w:webHidden/>
              </w:rPr>
              <w:fldChar w:fldCharType="separate"/>
            </w:r>
            <w:r w:rsidR="005D63DF">
              <w:rPr>
                <w:noProof/>
                <w:webHidden/>
              </w:rPr>
              <w:t>7</w:t>
            </w:r>
            <w:r w:rsidR="005D63DF">
              <w:rPr>
                <w:noProof/>
                <w:webHidden/>
              </w:rPr>
              <w:fldChar w:fldCharType="end"/>
            </w:r>
          </w:hyperlink>
        </w:p>
        <w:p w14:paraId="10DF3169" w14:textId="1D51EAB5" w:rsidR="005D63DF" w:rsidRDefault="00000000">
          <w:pPr>
            <w:pStyle w:val="TOC1"/>
            <w:tabs>
              <w:tab w:val="left" w:pos="440"/>
              <w:tab w:val="right" w:leader="dot" w:pos="9016"/>
            </w:tabs>
            <w:rPr>
              <w:rFonts w:eastAsiaTheme="minorEastAsia"/>
              <w:noProof/>
              <w:lang w:eastAsia="en-AU"/>
            </w:rPr>
          </w:pPr>
          <w:hyperlink w:anchor="_Toc134193127" w:history="1">
            <w:r w:rsidR="005D63DF" w:rsidRPr="008373FC">
              <w:rPr>
                <w:rStyle w:val="Hyperlink"/>
                <w:rFonts w:ascii="Arial Narrow" w:hAnsi="Arial Narrow"/>
                <w:b/>
                <w:bCs/>
                <w:noProof/>
              </w:rPr>
              <w:t>9.</w:t>
            </w:r>
            <w:r w:rsidR="005D63DF">
              <w:rPr>
                <w:rFonts w:eastAsiaTheme="minorEastAsia"/>
                <w:noProof/>
                <w:lang w:eastAsia="en-AU"/>
              </w:rPr>
              <w:tab/>
            </w:r>
            <w:r w:rsidR="005D63DF" w:rsidRPr="008373FC">
              <w:rPr>
                <w:rStyle w:val="Hyperlink"/>
                <w:rFonts w:ascii="Arial Narrow" w:hAnsi="Arial Narrow"/>
                <w:b/>
                <w:bCs/>
                <w:noProof/>
              </w:rPr>
              <w:t>How do unlisted asset owners think during volatile times, and does this collide with the definition of value?</w:t>
            </w:r>
            <w:r w:rsidR="005D63DF">
              <w:rPr>
                <w:noProof/>
                <w:webHidden/>
              </w:rPr>
              <w:tab/>
            </w:r>
            <w:r w:rsidR="005D63DF">
              <w:rPr>
                <w:noProof/>
                <w:webHidden/>
              </w:rPr>
              <w:fldChar w:fldCharType="begin"/>
            </w:r>
            <w:r w:rsidR="005D63DF">
              <w:rPr>
                <w:noProof/>
                <w:webHidden/>
              </w:rPr>
              <w:instrText xml:space="preserve"> PAGEREF _Toc134193127 \h </w:instrText>
            </w:r>
            <w:r w:rsidR="005D63DF">
              <w:rPr>
                <w:noProof/>
                <w:webHidden/>
              </w:rPr>
            </w:r>
            <w:r w:rsidR="005D63DF">
              <w:rPr>
                <w:noProof/>
                <w:webHidden/>
              </w:rPr>
              <w:fldChar w:fldCharType="separate"/>
            </w:r>
            <w:r w:rsidR="005D63DF">
              <w:rPr>
                <w:noProof/>
                <w:webHidden/>
              </w:rPr>
              <w:t>8</w:t>
            </w:r>
            <w:r w:rsidR="005D63DF">
              <w:rPr>
                <w:noProof/>
                <w:webHidden/>
              </w:rPr>
              <w:fldChar w:fldCharType="end"/>
            </w:r>
          </w:hyperlink>
        </w:p>
        <w:p w14:paraId="5D77410A" w14:textId="02CF1131" w:rsidR="005D63DF" w:rsidRDefault="00000000">
          <w:pPr>
            <w:pStyle w:val="TOC1"/>
            <w:tabs>
              <w:tab w:val="left" w:pos="660"/>
              <w:tab w:val="right" w:leader="dot" w:pos="9016"/>
            </w:tabs>
            <w:rPr>
              <w:rFonts w:eastAsiaTheme="minorEastAsia"/>
              <w:noProof/>
              <w:lang w:eastAsia="en-AU"/>
            </w:rPr>
          </w:pPr>
          <w:hyperlink w:anchor="_Toc134193128" w:history="1">
            <w:r w:rsidR="005D63DF" w:rsidRPr="008373FC">
              <w:rPr>
                <w:rStyle w:val="Hyperlink"/>
                <w:rFonts w:ascii="Arial Narrow" w:hAnsi="Arial Narrow"/>
                <w:b/>
                <w:bCs/>
                <w:noProof/>
              </w:rPr>
              <w:t>10.</w:t>
            </w:r>
            <w:r w:rsidR="005D63DF">
              <w:rPr>
                <w:rFonts w:eastAsiaTheme="minorEastAsia"/>
                <w:noProof/>
                <w:lang w:eastAsia="en-AU"/>
              </w:rPr>
              <w:tab/>
            </w:r>
            <w:r w:rsidR="005D63DF" w:rsidRPr="008373FC">
              <w:rPr>
                <w:rStyle w:val="Hyperlink"/>
                <w:rFonts w:ascii="Arial Narrow" w:hAnsi="Arial Narrow"/>
                <w:b/>
                <w:bCs/>
                <w:noProof/>
              </w:rPr>
              <w:t>Where has the public narrative broken down, and where has it got it right?</w:t>
            </w:r>
            <w:r w:rsidR="005D63DF">
              <w:rPr>
                <w:noProof/>
                <w:webHidden/>
              </w:rPr>
              <w:tab/>
            </w:r>
            <w:r w:rsidR="005D63DF">
              <w:rPr>
                <w:noProof/>
                <w:webHidden/>
              </w:rPr>
              <w:fldChar w:fldCharType="begin"/>
            </w:r>
            <w:r w:rsidR="005D63DF">
              <w:rPr>
                <w:noProof/>
                <w:webHidden/>
              </w:rPr>
              <w:instrText xml:space="preserve"> PAGEREF _Toc134193128 \h </w:instrText>
            </w:r>
            <w:r w:rsidR="005D63DF">
              <w:rPr>
                <w:noProof/>
                <w:webHidden/>
              </w:rPr>
            </w:r>
            <w:r w:rsidR="005D63DF">
              <w:rPr>
                <w:noProof/>
                <w:webHidden/>
              </w:rPr>
              <w:fldChar w:fldCharType="separate"/>
            </w:r>
            <w:r w:rsidR="005D63DF">
              <w:rPr>
                <w:noProof/>
                <w:webHidden/>
              </w:rPr>
              <w:t>9</w:t>
            </w:r>
            <w:r w:rsidR="005D63DF">
              <w:rPr>
                <w:noProof/>
                <w:webHidden/>
              </w:rPr>
              <w:fldChar w:fldCharType="end"/>
            </w:r>
          </w:hyperlink>
        </w:p>
        <w:p w14:paraId="430709CE" w14:textId="2AEF26D8" w:rsidR="005D63DF" w:rsidRDefault="00000000">
          <w:pPr>
            <w:pStyle w:val="TOC1"/>
            <w:tabs>
              <w:tab w:val="left" w:pos="660"/>
              <w:tab w:val="right" w:leader="dot" w:pos="9016"/>
            </w:tabs>
            <w:rPr>
              <w:rFonts w:eastAsiaTheme="minorEastAsia"/>
              <w:noProof/>
              <w:lang w:eastAsia="en-AU"/>
            </w:rPr>
          </w:pPr>
          <w:hyperlink w:anchor="_Toc134193129" w:history="1">
            <w:r w:rsidR="005D63DF" w:rsidRPr="008373FC">
              <w:rPr>
                <w:rStyle w:val="Hyperlink"/>
                <w:rFonts w:ascii="Arial Narrow" w:hAnsi="Arial Narrow"/>
                <w:b/>
                <w:bCs/>
                <w:noProof/>
              </w:rPr>
              <w:t>11.</w:t>
            </w:r>
            <w:r w:rsidR="005D63DF">
              <w:rPr>
                <w:rFonts w:eastAsiaTheme="minorEastAsia"/>
                <w:noProof/>
                <w:lang w:eastAsia="en-AU"/>
              </w:rPr>
              <w:tab/>
            </w:r>
            <w:r w:rsidR="005D63DF" w:rsidRPr="008373FC">
              <w:rPr>
                <w:rStyle w:val="Hyperlink"/>
                <w:rFonts w:ascii="Arial Narrow" w:hAnsi="Arial Narrow"/>
                <w:b/>
                <w:bCs/>
                <w:noProof/>
              </w:rPr>
              <w:t>So where does this leave the valuer, do they have to do nothing?</w:t>
            </w:r>
            <w:r w:rsidR="005D63DF">
              <w:rPr>
                <w:noProof/>
                <w:webHidden/>
              </w:rPr>
              <w:tab/>
            </w:r>
            <w:r w:rsidR="005D63DF">
              <w:rPr>
                <w:noProof/>
                <w:webHidden/>
              </w:rPr>
              <w:fldChar w:fldCharType="begin"/>
            </w:r>
            <w:r w:rsidR="005D63DF">
              <w:rPr>
                <w:noProof/>
                <w:webHidden/>
              </w:rPr>
              <w:instrText xml:space="preserve"> PAGEREF _Toc134193129 \h </w:instrText>
            </w:r>
            <w:r w:rsidR="005D63DF">
              <w:rPr>
                <w:noProof/>
                <w:webHidden/>
              </w:rPr>
            </w:r>
            <w:r w:rsidR="005D63DF">
              <w:rPr>
                <w:noProof/>
                <w:webHidden/>
              </w:rPr>
              <w:fldChar w:fldCharType="separate"/>
            </w:r>
            <w:r w:rsidR="005D63DF">
              <w:rPr>
                <w:noProof/>
                <w:webHidden/>
              </w:rPr>
              <w:t>10</w:t>
            </w:r>
            <w:r w:rsidR="005D63DF">
              <w:rPr>
                <w:noProof/>
                <w:webHidden/>
              </w:rPr>
              <w:fldChar w:fldCharType="end"/>
            </w:r>
          </w:hyperlink>
        </w:p>
        <w:p w14:paraId="000FF044" w14:textId="1D3DBFD2" w:rsidR="005D63DF" w:rsidRDefault="00000000">
          <w:pPr>
            <w:pStyle w:val="TOC1"/>
            <w:tabs>
              <w:tab w:val="left" w:pos="660"/>
              <w:tab w:val="right" w:leader="dot" w:pos="9016"/>
            </w:tabs>
            <w:rPr>
              <w:rFonts w:eastAsiaTheme="minorEastAsia"/>
              <w:noProof/>
              <w:lang w:eastAsia="en-AU"/>
            </w:rPr>
          </w:pPr>
          <w:hyperlink w:anchor="_Toc134193130" w:history="1">
            <w:r w:rsidR="005D63DF" w:rsidRPr="008373FC">
              <w:rPr>
                <w:rStyle w:val="Hyperlink"/>
                <w:rFonts w:ascii="Arial Narrow" w:hAnsi="Arial Narrow"/>
                <w:b/>
                <w:bCs/>
                <w:noProof/>
              </w:rPr>
              <w:t>12.</w:t>
            </w:r>
            <w:r w:rsidR="005D63DF">
              <w:rPr>
                <w:rFonts w:eastAsiaTheme="minorEastAsia"/>
                <w:noProof/>
                <w:lang w:eastAsia="en-AU"/>
              </w:rPr>
              <w:tab/>
            </w:r>
            <w:r w:rsidR="005D63DF" w:rsidRPr="008373FC">
              <w:rPr>
                <w:rStyle w:val="Hyperlink"/>
                <w:rFonts w:ascii="Arial Narrow" w:hAnsi="Arial Narrow"/>
                <w:b/>
                <w:bCs/>
                <w:noProof/>
              </w:rPr>
              <w:t>How can governance handle this appropriately moving forward, and should directors feel comfortable about the situation?</w:t>
            </w:r>
            <w:r w:rsidR="005D63DF">
              <w:rPr>
                <w:noProof/>
                <w:webHidden/>
              </w:rPr>
              <w:tab/>
            </w:r>
            <w:r w:rsidR="005D63DF">
              <w:rPr>
                <w:noProof/>
                <w:webHidden/>
              </w:rPr>
              <w:fldChar w:fldCharType="begin"/>
            </w:r>
            <w:r w:rsidR="005D63DF">
              <w:rPr>
                <w:noProof/>
                <w:webHidden/>
              </w:rPr>
              <w:instrText xml:space="preserve"> PAGEREF _Toc134193130 \h </w:instrText>
            </w:r>
            <w:r w:rsidR="005D63DF">
              <w:rPr>
                <w:noProof/>
                <w:webHidden/>
              </w:rPr>
            </w:r>
            <w:r w:rsidR="005D63DF">
              <w:rPr>
                <w:noProof/>
                <w:webHidden/>
              </w:rPr>
              <w:fldChar w:fldCharType="separate"/>
            </w:r>
            <w:r w:rsidR="005D63DF">
              <w:rPr>
                <w:noProof/>
                <w:webHidden/>
              </w:rPr>
              <w:t>10</w:t>
            </w:r>
            <w:r w:rsidR="005D63DF">
              <w:rPr>
                <w:noProof/>
                <w:webHidden/>
              </w:rPr>
              <w:fldChar w:fldCharType="end"/>
            </w:r>
          </w:hyperlink>
        </w:p>
        <w:p w14:paraId="7E811EAA" w14:textId="2CC5172E" w:rsidR="005D63DF" w:rsidRDefault="00000000">
          <w:pPr>
            <w:pStyle w:val="TOC1"/>
            <w:tabs>
              <w:tab w:val="left" w:pos="660"/>
              <w:tab w:val="right" w:leader="dot" w:pos="9016"/>
            </w:tabs>
            <w:rPr>
              <w:rFonts w:eastAsiaTheme="minorEastAsia"/>
              <w:noProof/>
              <w:lang w:eastAsia="en-AU"/>
            </w:rPr>
          </w:pPr>
          <w:hyperlink w:anchor="_Toc134193131" w:history="1">
            <w:r w:rsidR="005D63DF" w:rsidRPr="008373FC">
              <w:rPr>
                <w:rStyle w:val="Hyperlink"/>
                <w:rFonts w:ascii="Arial Narrow" w:hAnsi="Arial Narrow"/>
                <w:b/>
                <w:bCs/>
                <w:noProof/>
              </w:rPr>
              <w:t>13.</w:t>
            </w:r>
            <w:r w:rsidR="005D63DF">
              <w:rPr>
                <w:rFonts w:eastAsiaTheme="minorEastAsia"/>
                <w:noProof/>
                <w:lang w:eastAsia="en-AU"/>
              </w:rPr>
              <w:tab/>
            </w:r>
            <w:r w:rsidR="005D63DF" w:rsidRPr="008373FC">
              <w:rPr>
                <w:rStyle w:val="Hyperlink"/>
                <w:rFonts w:ascii="Arial Narrow" w:hAnsi="Arial Narrow"/>
                <w:b/>
                <w:bCs/>
                <w:noProof/>
              </w:rPr>
              <w:t>The role of the IVSC regarding the topic</w:t>
            </w:r>
            <w:r w:rsidR="005D63DF">
              <w:rPr>
                <w:noProof/>
                <w:webHidden/>
              </w:rPr>
              <w:tab/>
            </w:r>
            <w:r w:rsidR="005D63DF">
              <w:rPr>
                <w:noProof/>
                <w:webHidden/>
              </w:rPr>
              <w:fldChar w:fldCharType="begin"/>
            </w:r>
            <w:r w:rsidR="005D63DF">
              <w:rPr>
                <w:noProof/>
                <w:webHidden/>
              </w:rPr>
              <w:instrText xml:space="preserve"> PAGEREF _Toc134193131 \h </w:instrText>
            </w:r>
            <w:r w:rsidR="005D63DF">
              <w:rPr>
                <w:noProof/>
                <w:webHidden/>
              </w:rPr>
            </w:r>
            <w:r w:rsidR="005D63DF">
              <w:rPr>
                <w:noProof/>
                <w:webHidden/>
              </w:rPr>
              <w:fldChar w:fldCharType="separate"/>
            </w:r>
            <w:r w:rsidR="005D63DF">
              <w:rPr>
                <w:noProof/>
                <w:webHidden/>
              </w:rPr>
              <w:t>11</w:t>
            </w:r>
            <w:r w:rsidR="005D63DF">
              <w:rPr>
                <w:noProof/>
                <w:webHidden/>
              </w:rPr>
              <w:fldChar w:fldCharType="end"/>
            </w:r>
          </w:hyperlink>
        </w:p>
        <w:p w14:paraId="3A826847" w14:textId="6384E428" w:rsidR="005D63DF" w:rsidRDefault="00000000">
          <w:pPr>
            <w:pStyle w:val="TOC1"/>
            <w:tabs>
              <w:tab w:val="left" w:pos="660"/>
              <w:tab w:val="right" w:leader="dot" w:pos="9016"/>
            </w:tabs>
            <w:rPr>
              <w:rFonts w:eastAsiaTheme="minorEastAsia"/>
              <w:noProof/>
              <w:lang w:eastAsia="en-AU"/>
            </w:rPr>
          </w:pPr>
          <w:hyperlink w:anchor="_Toc134193132" w:history="1">
            <w:r w:rsidR="005D63DF" w:rsidRPr="008373FC">
              <w:rPr>
                <w:rStyle w:val="Hyperlink"/>
                <w:rFonts w:ascii="Arial Narrow" w:hAnsi="Arial Narrow"/>
                <w:b/>
                <w:bCs/>
                <w:noProof/>
              </w:rPr>
              <w:t>14.</w:t>
            </w:r>
            <w:r w:rsidR="005D63DF">
              <w:rPr>
                <w:rFonts w:eastAsiaTheme="minorEastAsia"/>
                <w:noProof/>
                <w:lang w:eastAsia="en-AU"/>
              </w:rPr>
              <w:tab/>
            </w:r>
            <w:r w:rsidR="005D63DF" w:rsidRPr="008373FC">
              <w:rPr>
                <w:rStyle w:val="Hyperlink"/>
                <w:rFonts w:ascii="Arial Narrow" w:hAnsi="Arial Narrow"/>
                <w:b/>
                <w:bCs/>
                <w:noProof/>
              </w:rPr>
              <w:t>Other thoughts, quotes and content?</w:t>
            </w:r>
            <w:r w:rsidR="005D63DF">
              <w:rPr>
                <w:noProof/>
                <w:webHidden/>
              </w:rPr>
              <w:tab/>
            </w:r>
            <w:r w:rsidR="005D63DF">
              <w:rPr>
                <w:noProof/>
                <w:webHidden/>
              </w:rPr>
              <w:fldChar w:fldCharType="begin"/>
            </w:r>
            <w:r w:rsidR="005D63DF">
              <w:rPr>
                <w:noProof/>
                <w:webHidden/>
              </w:rPr>
              <w:instrText xml:space="preserve"> PAGEREF _Toc134193132 \h </w:instrText>
            </w:r>
            <w:r w:rsidR="005D63DF">
              <w:rPr>
                <w:noProof/>
                <w:webHidden/>
              </w:rPr>
            </w:r>
            <w:r w:rsidR="005D63DF">
              <w:rPr>
                <w:noProof/>
                <w:webHidden/>
              </w:rPr>
              <w:fldChar w:fldCharType="separate"/>
            </w:r>
            <w:r w:rsidR="005D63DF">
              <w:rPr>
                <w:noProof/>
                <w:webHidden/>
              </w:rPr>
              <w:t>11</w:t>
            </w:r>
            <w:r w:rsidR="005D63DF">
              <w:rPr>
                <w:noProof/>
                <w:webHidden/>
              </w:rPr>
              <w:fldChar w:fldCharType="end"/>
            </w:r>
          </w:hyperlink>
        </w:p>
        <w:p w14:paraId="37E75179" w14:textId="1E5136ED" w:rsidR="005D63DF" w:rsidRDefault="00000000">
          <w:pPr>
            <w:pStyle w:val="TOC1"/>
            <w:tabs>
              <w:tab w:val="left" w:pos="660"/>
              <w:tab w:val="right" w:leader="dot" w:pos="9016"/>
            </w:tabs>
            <w:rPr>
              <w:rFonts w:eastAsiaTheme="minorEastAsia"/>
              <w:noProof/>
              <w:lang w:eastAsia="en-AU"/>
            </w:rPr>
          </w:pPr>
          <w:hyperlink w:anchor="_Toc134193133" w:history="1">
            <w:r w:rsidR="005D63DF" w:rsidRPr="008373FC">
              <w:rPr>
                <w:rStyle w:val="Hyperlink"/>
                <w:rFonts w:ascii="Arial Narrow" w:hAnsi="Arial Narrow"/>
                <w:b/>
                <w:bCs/>
                <w:noProof/>
              </w:rPr>
              <w:t>15.</w:t>
            </w:r>
            <w:r w:rsidR="005D63DF">
              <w:rPr>
                <w:rFonts w:eastAsiaTheme="minorEastAsia"/>
                <w:noProof/>
                <w:lang w:eastAsia="en-AU"/>
              </w:rPr>
              <w:tab/>
            </w:r>
            <w:r w:rsidR="005D63DF" w:rsidRPr="008373FC">
              <w:rPr>
                <w:rStyle w:val="Hyperlink"/>
                <w:rFonts w:ascii="Arial Narrow" w:hAnsi="Arial Narrow"/>
                <w:b/>
                <w:bCs/>
                <w:noProof/>
              </w:rPr>
              <w:t>Original TAB/BVB panel discussion topics</w:t>
            </w:r>
            <w:r w:rsidR="005D63DF">
              <w:rPr>
                <w:noProof/>
                <w:webHidden/>
              </w:rPr>
              <w:tab/>
            </w:r>
            <w:r w:rsidR="005D63DF">
              <w:rPr>
                <w:noProof/>
                <w:webHidden/>
              </w:rPr>
              <w:fldChar w:fldCharType="begin"/>
            </w:r>
            <w:r w:rsidR="005D63DF">
              <w:rPr>
                <w:noProof/>
                <w:webHidden/>
              </w:rPr>
              <w:instrText xml:space="preserve"> PAGEREF _Toc134193133 \h </w:instrText>
            </w:r>
            <w:r w:rsidR="005D63DF">
              <w:rPr>
                <w:noProof/>
                <w:webHidden/>
              </w:rPr>
            </w:r>
            <w:r w:rsidR="005D63DF">
              <w:rPr>
                <w:noProof/>
                <w:webHidden/>
              </w:rPr>
              <w:fldChar w:fldCharType="separate"/>
            </w:r>
            <w:r w:rsidR="005D63DF">
              <w:rPr>
                <w:noProof/>
                <w:webHidden/>
              </w:rPr>
              <w:t>12</w:t>
            </w:r>
            <w:r w:rsidR="005D63DF">
              <w:rPr>
                <w:noProof/>
                <w:webHidden/>
              </w:rPr>
              <w:fldChar w:fldCharType="end"/>
            </w:r>
          </w:hyperlink>
        </w:p>
        <w:p w14:paraId="39652EFC" w14:textId="402D5517" w:rsidR="0026757D" w:rsidRDefault="0026757D" w:rsidP="0026757D">
          <w:pPr>
            <w:rPr>
              <w:b/>
              <w:bCs/>
              <w:noProof/>
            </w:rPr>
          </w:pPr>
          <w:r>
            <w:rPr>
              <w:b/>
              <w:bCs/>
              <w:noProof/>
            </w:rPr>
            <w:fldChar w:fldCharType="end"/>
          </w:r>
        </w:p>
      </w:sdtContent>
    </w:sdt>
    <w:p w14:paraId="23883C66" w14:textId="77777777" w:rsidR="003C7490" w:rsidRPr="0026757D" w:rsidRDefault="003C7490" w:rsidP="0026757D"/>
    <w:p w14:paraId="1E91C2EC" w14:textId="695CFFBD" w:rsidR="00863914" w:rsidRDefault="00863914" w:rsidP="0026757D">
      <w:pPr>
        <w:pStyle w:val="1"/>
        <w:numPr>
          <w:ilvl w:val="0"/>
          <w:numId w:val="7"/>
        </w:numPr>
        <w:rPr>
          <w:rFonts w:ascii="Arial Narrow" w:hAnsi="Arial Narrow"/>
          <w:b/>
          <w:bCs/>
          <w:color w:val="000000" w:themeColor="text1"/>
          <w:sz w:val="22"/>
          <w:szCs w:val="22"/>
        </w:rPr>
      </w:pPr>
      <w:bookmarkStart w:id="0" w:name="_Toc134193119"/>
      <w:r w:rsidRPr="0026757D">
        <w:rPr>
          <w:rFonts w:ascii="Arial Narrow" w:hAnsi="Arial Narrow"/>
          <w:b/>
          <w:bCs/>
          <w:color w:val="000000" w:themeColor="text1"/>
          <w:sz w:val="22"/>
          <w:szCs w:val="22"/>
        </w:rPr>
        <w:t>Background</w:t>
      </w:r>
      <w:bookmarkEnd w:id="0"/>
    </w:p>
    <w:p w14:paraId="1CE686C8" w14:textId="77777777" w:rsidR="0026757D" w:rsidRPr="0026757D" w:rsidRDefault="0026757D" w:rsidP="0026757D"/>
    <w:p w14:paraId="32494F5D" w14:textId="1D794BB6" w:rsidR="000B5932" w:rsidRDefault="00251C8A" w:rsidP="006B0D7E">
      <w:pPr>
        <w:pStyle w:val="a3"/>
        <w:numPr>
          <w:ilvl w:val="0"/>
          <w:numId w:val="3"/>
        </w:numPr>
        <w:rPr>
          <w:rFonts w:ascii="Arial Narrow" w:hAnsi="Arial Narrow"/>
        </w:rPr>
      </w:pPr>
      <w:r>
        <w:rPr>
          <w:rFonts w:ascii="Arial Narrow" w:hAnsi="Arial Narrow"/>
        </w:rPr>
        <w:t>Overview of w</w:t>
      </w:r>
      <w:r w:rsidR="000B5932">
        <w:rPr>
          <w:rFonts w:ascii="Arial Narrow" w:hAnsi="Arial Narrow"/>
        </w:rPr>
        <w:t>hy listed structures were created</w:t>
      </w:r>
      <w:r>
        <w:rPr>
          <w:rFonts w:ascii="Arial Narrow" w:hAnsi="Arial Narrow"/>
        </w:rPr>
        <w:t xml:space="preserve">: provided greater access to an otherwise </w:t>
      </w:r>
      <w:r w:rsidR="00533253">
        <w:rPr>
          <w:rFonts w:ascii="Arial Narrow" w:hAnsi="Arial Narrow"/>
        </w:rPr>
        <w:t xml:space="preserve">largely </w:t>
      </w:r>
      <w:r>
        <w:rPr>
          <w:rFonts w:ascii="Arial Narrow" w:hAnsi="Arial Narrow"/>
        </w:rPr>
        <w:t xml:space="preserve">inaccessible asset class for retail investors, coupled with an instrument that provided a high level of liquidity (relative to the underlying asset), which also afforded those investors do have a high level of diversification among their investment </w:t>
      </w:r>
      <w:proofErr w:type="gramStart"/>
      <w:r>
        <w:rPr>
          <w:rFonts w:ascii="Arial Narrow" w:hAnsi="Arial Narrow"/>
        </w:rPr>
        <w:t>portfolio</w:t>
      </w:r>
      <w:proofErr w:type="gramEnd"/>
      <w:r>
        <w:rPr>
          <w:rFonts w:ascii="Arial Narrow" w:hAnsi="Arial Narrow"/>
        </w:rPr>
        <w:t>.</w:t>
      </w:r>
    </w:p>
    <w:p w14:paraId="6F811F31" w14:textId="77777777" w:rsidR="00D34F3A" w:rsidRDefault="00251C8A" w:rsidP="006B0D7E">
      <w:pPr>
        <w:pStyle w:val="a3"/>
        <w:numPr>
          <w:ilvl w:val="0"/>
          <w:numId w:val="3"/>
        </w:numPr>
        <w:rPr>
          <w:rFonts w:ascii="Arial Narrow" w:hAnsi="Arial Narrow"/>
        </w:rPr>
      </w:pPr>
      <w:r>
        <w:rPr>
          <w:rFonts w:ascii="Arial Narrow" w:hAnsi="Arial Narrow"/>
        </w:rPr>
        <w:t>Recent trends: have seen an i</w:t>
      </w:r>
      <w:r w:rsidR="0038373A">
        <w:rPr>
          <w:rFonts w:ascii="Arial Narrow" w:hAnsi="Arial Narrow"/>
        </w:rPr>
        <w:t xml:space="preserve">ncreasing allocation of capital to unlisted assets in </w:t>
      </w:r>
      <w:proofErr w:type="gramStart"/>
      <w:r w:rsidR="0038373A">
        <w:rPr>
          <w:rFonts w:ascii="Arial Narrow" w:hAnsi="Arial Narrow"/>
        </w:rPr>
        <w:t>a number of</w:t>
      </w:r>
      <w:proofErr w:type="gramEnd"/>
      <w:r w:rsidR="0038373A">
        <w:rPr>
          <w:rFonts w:ascii="Arial Narrow" w:hAnsi="Arial Narrow"/>
        </w:rPr>
        <w:t xml:space="preserve"> markets, particularly in an environment where asset managers are being rewarded for </w:t>
      </w:r>
      <w:r w:rsidR="00F75DDE">
        <w:rPr>
          <w:rFonts w:ascii="Arial Narrow" w:hAnsi="Arial Narrow"/>
        </w:rPr>
        <w:t xml:space="preserve">outperformance and </w:t>
      </w:r>
      <w:r w:rsidR="0038373A">
        <w:rPr>
          <w:rFonts w:ascii="Arial Narrow" w:hAnsi="Arial Narrow"/>
        </w:rPr>
        <w:t>low volatility of returns.</w:t>
      </w:r>
    </w:p>
    <w:p w14:paraId="47FC9149" w14:textId="46A648FD" w:rsidR="0038373A" w:rsidRDefault="00251C8A" w:rsidP="006B0D7E">
      <w:pPr>
        <w:pStyle w:val="a3"/>
        <w:numPr>
          <w:ilvl w:val="0"/>
          <w:numId w:val="3"/>
        </w:numPr>
        <w:rPr>
          <w:rFonts w:ascii="Arial Narrow" w:hAnsi="Arial Narrow"/>
        </w:rPr>
      </w:pPr>
      <w:r>
        <w:rPr>
          <w:rFonts w:ascii="Arial Narrow" w:hAnsi="Arial Narrow"/>
        </w:rPr>
        <w:t xml:space="preserve">Quote from the Norwegian </w:t>
      </w:r>
      <w:r w:rsidR="000F7046">
        <w:rPr>
          <w:rFonts w:ascii="Arial Narrow" w:hAnsi="Arial Narrow"/>
        </w:rPr>
        <w:t>s</w:t>
      </w:r>
      <w:r>
        <w:rPr>
          <w:rFonts w:ascii="Arial Narrow" w:hAnsi="Arial Narrow"/>
        </w:rPr>
        <w:t xml:space="preserve">overeign </w:t>
      </w:r>
      <w:r w:rsidR="000F7046">
        <w:rPr>
          <w:rFonts w:ascii="Arial Narrow" w:hAnsi="Arial Narrow"/>
        </w:rPr>
        <w:t>w</w:t>
      </w:r>
      <w:r>
        <w:rPr>
          <w:rFonts w:ascii="Arial Narrow" w:hAnsi="Arial Narrow"/>
        </w:rPr>
        <w:t xml:space="preserve">ealth </w:t>
      </w:r>
      <w:r w:rsidR="000F7046">
        <w:rPr>
          <w:rFonts w:ascii="Arial Narrow" w:hAnsi="Arial Narrow"/>
        </w:rPr>
        <w:t>f</w:t>
      </w:r>
      <w:r>
        <w:rPr>
          <w:rFonts w:ascii="Arial Narrow" w:hAnsi="Arial Narrow"/>
        </w:rPr>
        <w:t>und</w:t>
      </w:r>
      <w:r w:rsidR="000F7046">
        <w:rPr>
          <w:rFonts w:ascii="Arial Narrow" w:hAnsi="Arial Narrow"/>
        </w:rPr>
        <w:t xml:space="preserve"> (NBIM) who historically have had a </w:t>
      </w:r>
      <w:r w:rsidR="00E370A9">
        <w:rPr>
          <w:rFonts w:ascii="Arial Narrow" w:hAnsi="Arial Narrow"/>
        </w:rPr>
        <w:t xml:space="preserve">predominant </w:t>
      </w:r>
      <w:r w:rsidR="000F7046">
        <w:rPr>
          <w:rFonts w:ascii="Arial Narrow" w:hAnsi="Arial Narrow"/>
        </w:rPr>
        <w:t>listed mandate …</w:t>
      </w:r>
      <w:r>
        <w:rPr>
          <w:rFonts w:ascii="Arial Narrow" w:hAnsi="Arial Narrow"/>
        </w:rPr>
        <w:t xml:space="preserve"> “</w:t>
      </w:r>
      <w:r w:rsidRPr="00251C8A">
        <w:rPr>
          <w:rFonts w:ascii="Arial Narrow" w:hAnsi="Arial Narrow"/>
        </w:rPr>
        <w:t>we’re seeing more and more indications that a larger share of value creation is taking place in the unlisted market”</w:t>
      </w:r>
      <w:r w:rsidR="000F7046">
        <w:rPr>
          <w:rFonts w:ascii="Arial Narrow" w:hAnsi="Arial Narrow"/>
        </w:rPr>
        <w:t>.</w:t>
      </w:r>
    </w:p>
    <w:p w14:paraId="76CB3249" w14:textId="1B4E3B11" w:rsidR="00D34F3A" w:rsidRPr="00D34F3A" w:rsidRDefault="00D34F3A" w:rsidP="00D34F3A">
      <w:pPr>
        <w:pStyle w:val="a3"/>
        <w:numPr>
          <w:ilvl w:val="0"/>
          <w:numId w:val="3"/>
        </w:numPr>
        <w:rPr>
          <w:rFonts w:ascii="Arial Narrow" w:hAnsi="Arial Narrow"/>
        </w:rPr>
      </w:pPr>
      <w:r w:rsidRPr="00D34F3A">
        <w:rPr>
          <w:rFonts w:ascii="Arial Narrow" w:hAnsi="Arial Narrow"/>
        </w:rPr>
        <w:t>IFM Investors</w:t>
      </w:r>
      <w:r w:rsidR="0022099D">
        <w:rPr>
          <w:rFonts w:ascii="Arial Narrow" w:hAnsi="Arial Narrow"/>
        </w:rPr>
        <w:t xml:space="preserve"> (</w:t>
      </w:r>
      <w:r w:rsidR="008359BC">
        <w:rPr>
          <w:rFonts w:ascii="Arial Narrow" w:hAnsi="Arial Narrow"/>
        </w:rPr>
        <w:t xml:space="preserve">previously known as </w:t>
      </w:r>
      <w:r w:rsidR="00CA2442">
        <w:rPr>
          <w:rFonts w:ascii="Arial Narrow" w:hAnsi="Arial Narrow"/>
        </w:rPr>
        <w:t>Industry Funds Management)</w:t>
      </w:r>
      <w:r w:rsidRPr="00D34F3A">
        <w:rPr>
          <w:rFonts w:ascii="Arial Narrow" w:hAnsi="Arial Narrow"/>
        </w:rPr>
        <w:t xml:space="preserve"> chief executive David Neal said the “obsession” with comparing listed and unlisted “doesn’t make sense”.</w:t>
      </w:r>
      <w:r>
        <w:rPr>
          <w:rFonts w:ascii="Arial Narrow" w:hAnsi="Arial Narrow"/>
        </w:rPr>
        <w:t xml:space="preserve">  </w:t>
      </w:r>
      <w:r w:rsidRPr="00D34F3A">
        <w:rPr>
          <w:rFonts w:ascii="Arial Narrow" w:hAnsi="Arial Narrow"/>
        </w:rPr>
        <w:t xml:space="preserve">“To me, the really interesting question is, well, why are we so engaged on building private market exposures and taking the illiquidity, why do we take this risk on?” Mr Neal said. “And really, I think the question there is, why can’t the listed </w:t>
      </w:r>
      <w:r w:rsidRPr="00D34F3A">
        <w:rPr>
          <w:rFonts w:ascii="Arial Narrow" w:hAnsi="Arial Narrow"/>
        </w:rPr>
        <w:lastRenderedPageBreak/>
        <w:t>market generate the same returns – the public market – that private markets can?</w:t>
      </w:r>
      <w:r>
        <w:rPr>
          <w:rFonts w:ascii="Arial Narrow" w:hAnsi="Arial Narrow"/>
        </w:rPr>
        <w:t xml:space="preserve">  </w:t>
      </w:r>
      <w:r w:rsidRPr="00D34F3A">
        <w:rPr>
          <w:rFonts w:ascii="Arial Narrow" w:hAnsi="Arial Narrow"/>
        </w:rPr>
        <w:t>“Someone doesn’t come and say, ‘Oh, thanks for that liquidity. Here’s some money’.”</w:t>
      </w:r>
      <w:r>
        <w:rPr>
          <w:rFonts w:ascii="Arial Narrow" w:hAnsi="Arial Narrow"/>
        </w:rPr>
        <w:t xml:space="preserve">  </w:t>
      </w:r>
      <w:r w:rsidRPr="00D34F3A">
        <w:rPr>
          <w:rFonts w:ascii="Arial Narrow" w:hAnsi="Arial Narrow"/>
        </w:rPr>
        <w:t>Mr Neal said the listed market was not as good a steward of capital in terms of efficiency and understanding with a view to maximising long-term returns as business owners. “The listed world does not work that way.”</w:t>
      </w:r>
    </w:p>
    <w:p w14:paraId="7DACD9AE" w14:textId="7C9CD4FD" w:rsidR="0031459B" w:rsidRDefault="0031459B" w:rsidP="006B0D7E">
      <w:pPr>
        <w:pStyle w:val="a3"/>
        <w:numPr>
          <w:ilvl w:val="0"/>
          <w:numId w:val="3"/>
        </w:numPr>
        <w:rPr>
          <w:rFonts w:ascii="Arial Narrow" w:hAnsi="Arial Narrow"/>
        </w:rPr>
      </w:pPr>
      <w:r>
        <w:rPr>
          <w:rFonts w:ascii="Arial Narrow" w:hAnsi="Arial Narrow"/>
        </w:rPr>
        <w:t>Volatil</w:t>
      </w:r>
      <w:r w:rsidR="000F7046">
        <w:rPr>
          <w:rFonts w:ascii="Arial Narrow" w:hAnsi="Arial Narrow"/>
        </w:rPr>
        <w:t>e times:</w:t>
      </w:r>
      <w:r>
        <w:rPr>
          <w:rFonts w:ascii="Arial Narrow" w:hAnsi="Arial Narrow"/>
        </w:rPr>
        <w:t xml:space="preserve"> often creates a delta between listed prices and NAV’s, perhaps material</w:t>
      </w:r>
      <w:r w:rsidR="000F7046">
        <w:rPr>
          <w:rFonts w:ascii="Arial Narrow" w:hAnsi="Arial Narrow"/>
        </w:rPr>
        <w:t xml:space="preserve"> which we are witnessing now in the real estate sector, but also historically with infrastructure during the onset of COVID-19</w:t>
      </w:r>
      <w:r w:rsidR="001E2062">
        <w:rPr>
          <w:rFonts w:ascii="Arial Narrow" w:hAnsi="Arial Narrow"/>
        </w:rPr>
        <w:t xml:space="preserve"> </w:t>
      </w:r>
      <w:r w:rsidR="000F7046">
        <w:rPr>
          <w:rFonts w:ascii="Arial Narrow" w:hAnsi="Arial Narrow"/>
        </w:rPr>
        <w:t>for example.</w:t>
      </w:r>
    </w:p>
    <w:p w14:paraId="21F53C11" w14:textId="7677FFED" w:rsidR="00863914" w:rsidRDefault="000F7046" w:rsidP="006B0D7E">
      <w:pPr>
        <w:pStyle w:val="a3"/>
        <w:numPr>
          <w:ilvl w:val="0"/>
          <w:numId w:val="3"/>
        </w:numPr>
        <w:rPr>
          <w:rFonts w:ascii="Arial Narrow" w:hAnsi="Arial Narrow"/>
        </w:rPr>
      </w:pPr>
      <w:r>
        <w:rPr>
          <w:rFonts w:ascii="Arial Narrow" w:hAnsi="Arial Narrow"/>
        </w:rPr>
        <w:t>This paper: will have a r</w:t>
      </w:r>
      <w:r w:rsidR="006B0D7E">
        <w:rPr>
          <w:rFonts w:ascii="Arial Narrow" w:hAnsi="Arial Narrow"/>
        </w:rPr>
        <w:t xml:space="preserve">eal estate and infrastructure focus, </w:t>
      </w:r>
      <w:r w:rsidR="003C7490">
        <w:rPr>
          <w:rFonts w:ascii="Arial Narrow" w:hAnsi="Arial Narrow"/>
        </w:rPr>
        <w:t xml:space="preserve">whilst keeping </w:t>
      </w:r>
      <w:r w:rsidR="006B0D7E">
        <w:rPr>
          <w:rFonts w:ascii="Arial Narrow" w:hAnsi="Arial Narrow"/>
        </w:rPr>
        <w:t xml:space="preserve">private equity </w:t>
      </w:r>
      <w:r w:rsidR="003C7490">
        <w:rPr>
          <w:rFonts w:ascii="Arial Narrow" w:hAnsi="Arial Narrow"/>
        </w:rPr>
        <w:t>removed from this discussion</w:t>
      </w:r>
      <w:r w:rsidR="006B0D7E">
        <w:rPr>
          <w:rFonts w:ascii="Arial Narrow" w:hAnsi="Arial Narrow"/>
        </w:rPr>
        <w:t>.</w:t>
      </w:r>
    </w:p>
    <w:p w14:paraId="01B93D75" w14:textId="71B0EF33" w:rsidR="00863914" w:rsidRDefault="00863914" w:rsidP="00863914">
      <w:pPr>
        <w:rPr>
          <w:rFonts w:ascii="Arial Narrow" w:hAnsi="Arial Narrow"/>
        </w:rPr>
      </w:pPr>
    </w:p>
    <w:p w14:paraId="2BD57422" w14:textId="77777777" w:rsidR="00886034" w:rsidRDefault="00886034" w:rsidP="00863914">
      <w:pPr>
        <w:rPr>
          <w:rFonts w:ascii="Arial Narrow" w:hAnsi="Arial Narrow"/>
        </w:rPr>
      </w:pPr>
    </w:p>
    <w:p w14:paraId="17CEB09B" w14:textId="0341086A" w:rsidR="0022099D" w:rsidRPr="00963F86" w:rsidRDefault="0022099D" w:rsidP="003C7490">
      <w:pPr>
        <w:pStyle w:val="1"/>
        <w:numPr>
          <w:ilvl w:val="0"/>
          <w:numId w:val="7"/>
        </w:numPr>
        <w:rPr>
          <w:rFonts w:ascii="Arial Narrow" w:hAnsi="Arial Narrow"/>
          <w:b/>
          <w:bCs/>
          <w:color w:val="000000" w:themeColor="text1"/>
          <w:sz w:val="22"/>
          <w:szCs w:val="22"/>
        </w:rPr>
      </w:pPr>
      <w:bookmarkStart w:id="1" w:name="_Toc134193120"/>
      <w:r w:rsidRPr="00963F86">
        <w:rPr>
          <w:rFonts w:ascii="Arial Narrow" w:hAnsi="Arial Narrow"/>
          <w:b/>
          <w:bCs/>
          <w:color w:val="000000" w:themeColor="text1"/>
          <w:sz w:val="22"/>
          <w:szCs w:val="22"/>
        </w:rPr>
        <w:t>Problem statement</w:t>
      </w:r>
      <w:bookmarkEnd w:id="1"/>
    </w:p>
    <w:p w14:paraId="2AEDC6F8" w14:textId="77777777" w:rsidR="0022099D" w:rsidRPr="00963F86" w:rsidRDefault="0022099D" w:rsidP="0022099D">
      <w:pPr>
        <w:rPr>
          <w:rFonts w:ascii="Arial Narrow" w:hAnsi="Arial Narrow"/>
        </w:rPr>
      </w:pPr>
    </w:p>
    <w:p w14:paraId="5C230806" w14:textId="79C81533" w:rsidR="0024325D" w:rsidRPr="00963F86" w:rsidRDefault="00D86D63" w:rsidP="00432EB6">
      <w:pPr>
        <w:pStyle w:val="a3"/>
        <w:numPr>
          <w:ilvl w:val="0"/>
          <w:numId w:val="9"/>
        </w:numPr>
        <w:rPr>
          <w:rFonts w:ascii="Arial Narrow" w:hAnsi="Arial Narrow"/>
        </w:rPr>
      </w:pPr>
      <w:r w:rsidRPr="00963F86">
        <w:rPr>
          <w:rFonts w:ascii="Arial Narrow" w:hAnsi="Arial Narrow"/>
        </w:rPr>
        <w:t>Listed entities</w:t>
      </w:r>
      <w:r w:rsidR="00767EAD" w:rsidRPr="00963F86">
        <w:rPr>
          <w:rFonts w:ascii="Arial Narrow" w:hAnsi="Arial Narrow"/>
        </w:rPr>
        <w:t xml:space="preserve"> (</w:t>
      </w:r>
      <w:r w:rsidR="00C50CB2" w:rsidRPr="00963F86">
        <w:rPr>
          <w:rFonts w:ascii="Arial Narrow" w:hAnsi="Arial Narrow"/>
        </w:rPr>
        <w:t>A-</w:t>
      </w:r>
      <w:r w:rsidR="00767EAD" w:rsidRPr="00963F86">
        <w:rPr>
          <w:rFonts w:ascii="Arial Narrow" w:hAnsi="Arial Narrow"/>
        </w:rPr>
        <w:t>REITs</w:t>
      </w:r>
      <w:r w:rsidR="00D32D23" w:rsidRPr="00963F86">
        <w:rPr>
          <w:rFonts w:ascii="Arial Narrow" w:hAnsi="Arial Narrow"/>
        </w:rPr>
        <w:t xml:space="preserve">, real </w:t>
      </w:r>
      <w:proofErr w:type="gramStart"/>
      <w:r w:rsidR="00D32D23" w:rsidRPr="00963F86">
        <w:rPr>
          <w:rFonts w:ascii="Arial Narrow" w:hAnsi="Arial Narrow"/>
        </w:rPr>
        <w:t>estate</w:t>
      </w:r>
      <w:proofErr w:type="gramEnd"/>
      <w:r w:rsidR="00432EB6" w:rsidRPr="00963F86">
        <w:rPr>
          <w:rFonts w:ascii="Arial Narrow" w:hAnsi="Arial Narrow"/>
        </w:rPr>
        <w:t xml:space="preserve"> or infrastructure</w:t>
      </w:r>
      <w:r w:rsidR="00767EAD" w:rsidRPr="00963F86">
        <w:rPr>
          <w:rFonts w:ascii="Arial Narrow" w:hAnsi="Arial Narrow"/>
        </w:rPr>
        <w:t>)</w:t>
      </w:r>
      <w:r w:rsidR="00545A51" w:rsidRPr="00963F86">
        <w:rPr>
          <w:rFonts w:ascii="Arial Narrow" w:hAnsi="Arial Narrow"/>
        </w:rPr>
        <w:t>:</w:t>
      </w:r>
      <w:r w:rsidRPr="00963F86">
        <w:rPr>
          <w:rFonts w:ascii="Arial Narrow" w:hAnsi="Arial Narrow"/>
        </w:rPr>
        <w:t xml:space="preserve"> that provide independent asset values for each of their assets</w:t>
      </w:r>
      <w:r w:rsidR="00707C62" w:rsidRPr="00963F86">
        <w:rPr>
          <w:rFonts w:ascii="Arial Narrow" w:hAnsi="Arial Narrow"/>
        </w:rPr>
        <w:t xml:space="preserve"> as part of their governance processes.  Currently seeing a material diver</w:t>
      </w:r>
      <w:r w:rsidR="00545A51" w:rsidRPr="00963F86">
        <w:rPr>
          <w:rFonts w:ascii="Arial Narrow" w:hAnsi="Arial Narrow"/>
        </w:rPr>
        <w:t>gence between the listed price and NAV</w:t>
      </w:r>
      <w:r w:rsidR="00A95A4F" w:rsidRPr="00963F86">
        <w:rPr>
          <w:rFonts w:ascii="Arial Narrow" w:hAnsi="Arial Narrow"/>
        </w:rPr>
        <w:t xml:space="preserve"> (circa 20-60% </w:t>
      </w:r>
      <w:r w:rsidR="007E59F7" w:rsidRPr="00963F86">
        <w:rPr>
          <w:rFonts w:ascii="Arial Narrow" w:hAnsi="Arial Narrow"/>
        </w:rPr>
        <w:t xml:space="preserve">discount in listed prices </w:t>
      </w:r>
      <w:r w:rsidR="00A95A4F" w:rsidRPr="00963F86">
        <w:rPr>
          <w:rFonts w:ascii="Arial Narrow" w:hAnsi="Arial Narrow"/>
        </w:rPr>
        <w:t>depending upon the asset class and jurisdiction)</w:t>
      </w:r>
      <w:r w:rsidR="00545A51" w:rsidRPr="00963F86">
        <w:rPr>
          <w:rFonts w:ascii="Arial Narrow" w:hAnsi="Arial Narrow"/>
        </w:rPr>
        <w:t>.</w:t>
      </w:r>
    </w:p>
    <w:p w14:paraId="4AA0FB5C" w14:textId="0A7C1C72" w:rsidR="00D86D63" w:rsidRDefault="00DB0B0B" w:rsidP="0022099D">
      <w:pPr>
        <w:pStyle w:val="a3"/>
        <w:numPr>
          <w:ilvl w:val="0"/>
          <w:numId w:val="9"/>
        </w:numPr>
        <w:rPr>
          <w:rFonts w:ascii="Arial Narrow" w:hAnsi="Arial Narrow"/>
        </w:rPr>
      </w:pPr>
      <w:r w:rsidRPr="00963F86">
        <w:rPr>
          <w:rFonts w:ascii="Arial Narrow" w:hAnsi="Arial Narrow"/>
        </w:rPr>
        <w:t xml:space="preserve">Unlisted </w:t>
      </w:r>
      <w:r w:rsidR="0063311A" w:rsidRPr="00963F86">
        <w:rPr>
          <w:rFonts w:ascii="Arial Narrow" w:hAnsi="Arial Narrow"/>
        </w:rPr>
        <w:t>funds</w:t>
      </w:r>
      <w:r w:rsidRPr="00963F86">
        <w:rPr>
          <w:rFonts w:ascii="Arial Narrow" w:hAnsi="Arial Narrow"/>
        </w:rPr>
        <w:t xml:space="preserve">: that rely on </w:t>
      </w:r>
      <w:r w:rsidR="00677E10" w:rsidRPr="00963F86">
        <w:rPr>
          <w:rFonts w:ascii="Arial Narrow" w:hAnsi="Arial Narrow"/>
        </w:rPr>
        <w:t xml:space="preserve">valuations to set </w:t>
      </w:r>
      <w:r w:rsidRPr="00963F86">
        <w:rPr>
          <w:rFonts w:ascii="Arial Narrow" w:hAnsi="Arial Narrow"/>
        </w:rPr>
        <w:t>u</w:t>
      </w:r>
      <w:r w:rsidR="00E27C88" w:rsidRPr="00963F86">
        <w:rPr>
          <w:rFonts w:ascii="Arial Narrow" w:hAnsi="Arial Narrow"/>
        </w:rPr>
        <w:t>nit prices</w:t>
      </w:r>
      <w:r w:rsidR="0063311A" w:rsidRPr="00963F86">
        <w:rPr>
          <w:rFonts w:ascii="Arial Narrow" w:hAnsi="Arial Narrow"/>
        </w:rPr>
        <w:t>.  These are</w:t>
      </w:r>
      <w:r w:rsidR="00E27C88" w:rsidRPr="00963F86">
        <w:rPr>
          <w:rFonts w:ascii="Arial Narrow" w:hAnsi="Arial Narrow"/>
        </w:rPr>
        <w:t xml:space="preserve"> </w:t>
      </w:r>
      <w:r w:rsidR="00290D97" w:rsidRPr="00963F86">
        <w:rPr>
          <w:rFonts w:ascii="Arial Narrow" w:hAnsi="Arial Narrow"/>
        </w:rPr>
        <w:t xml:space="preserve">either i) </w:t>
      </w:r>
      <w:r w:rsidR="00E27C88" w:rsidRPr="00963F86">
        <w:rPr>
          <w:rFonts w:ascii="Arial Narrow" w:hAnsi="Arial Narrow"/>
        </w:rPr>
        <w:t>not being marked-to-market</w:t>
      </w:r>
      <w:r w:rsidR="00C50CB2" w:rsidRPr="00963F86">
        <w:rPr>
          <w:rFonts w:ascii="Arial Narrow" w:hAnsi="Arial Narrow"/>
        </w:rPr>
        <w:t xml:space="preserve"> frequently enough with assets</w:t>
      </w:r>
      <w:r w:rsidR="00871B16" w:rsidRPr="00963F86">
        <w:rPr>
          <w:rFonts w:ascii="Arial Narrow" w:hAnsi="Arial Narrow"/>
        </w:rPr>
        <w:t xml:space="preserve"> in their portfolio, ii) </w:t>
      </w:r>
      <w:r w:rsidR="008D604E" w:rsidRPr="00963F86">
        <w:rPr>
          <w:rFonts w:ascii="Arial Narrow" w:hAnsi="Arial Narrow"/>
        </w:rPr>
        <w:t>or</w:t>
      </w:r>
      <w:r w:rsidR="00871B16" w:rsidRPr="00963F86">
        <w:rPr>
          <w:rFonts w:ascii="Arial Narrow" w:hAnsi="Arial Narrow"/>
        </w:rPr>
        <w:t xml:space="preserve"> even when they are</w:t>
      </w:r>
      <w:r w:rsidR="0037259C" w:rsidRPr="00963F86">
        <w:rPr>
          <w:rFonts w:ascii="Arial Narrow" w:hAnsi="Arial Narrow"/>
        </w:rPr>
        <w:t xml:space="preserve"> marked-to-market frequently, they are</w:t>
      </w:r>
      <w:r w:rsidR="008D604E" w:rsidRPr="00963F86">
        <w:rPr>
          <w:rFonts w:ascii="Arial Narrow" w:hAnsi="Arial Narrow"/>
        </w:rPr>
        <w:t xml:space="preserve"> not displaying the same levels of discount</w:t>
      </w:r>
      <w:r w:rsidR="00CC5CFB" w:rsidRPr="00963F86">
        <w:rPr>
          <w:rFonts w:ascii="Arial Narrow" w:hAnsi="Arial Narrow"/>
        </w:rPr>
        <w:t>s to</w:t>
      </w:r>
      <w:r w:rsidR="008D604E" w:rsidRPr="00963F86">
        <w:rPr>
          <w:rFonts w:ascii="Arial Narrow" w:hAnsi="Arial Narrow"/>
        </w:rPr>
        <w:t xml:space="preserve"> that listed markets are displaying </w:t>
      </w:r>
      <w:r w:rsidR="00CC5CFB" w:rsidRPr="00963F86">
        <w:rPr>
          <w:rFonts w:ascii="Arial Narrow" w:hAnsi="Arial Narrow"/>
        </w:rPr>
        <w:t>(</w:t>
      </w:r>
      <w:r w:rsidR="008D604E" w:rsidRPr="00963F86">
        <w:rPr>
          <w:rFonts w:ascii="Arial Narrow" w:hAnsi="Arial Narrow"/>
        </w:rPr>
        <w:t>for the</w:t>
      </w:r>
      <w:r w:rsidR="00CC5CFB" w:rsidRPr="00963F86">
        <w:rPr>
          <w:rFonts w:ascii="Arial Narrow" w:hAnsi="Arial Narrow"/>
        </w:rPr>
        <w:t xml:space="preserve"> largely</w:t>
      </w:r>
      <w:r w:rsidR="008D604E" w:rsidRPr="00963F86">
        <w:rPr>
          <w:rFonts w:ascii="Arial Narrow" w:hAnsi="Arial Narrow"/>
        </w:rPr>
        <w:t xml:space="preserve"> same underlying asset class</w:t>
      </w:r>
      <w:r w:rsidR="007E59F7" w:rsidRPr="00963F86">
        <w:rPr>
          <w:rFonts w:ascii="Arial Narrow" w:hAnsi="Arial Narrow"/>
        </w:rPr>
        <w:t>/investment</w:t>
      </w:r>
      <w:r w:rsidR="00CC5CFB" w:rsidRPr="00963F86">
        <w:rPr>
          <w:rFonts w:ascii="Arial Narrow" w:hAnsi="Arial Narrow"/>
        </w:rPr>
        <w:t>)</w:t>
      </w:r>
      <w:r w:rsidR="008D604E" w:rsidRPr="00963F86">
        <w:rPr>
          <w:rFonts w:ascii="Arial Narrow" w:hAnsi="Arial Narrow"/>
        </w:rPr>
        <w:t>.</w:t>
      </w:r>
    </w:p>
    <w:p w14:paraId="42FF1727" w14:textId="37294C8B" w:rsidR="006A1BBB" w:rsidRPr="005547A7" w:rsidRDefault="001E0876" w:rsidP="006A1BBB">
      <w:pPr>
        <w:pStyle w:val="a3"/>
        <w:numPr>
          <w:ilvl w:val="0"/>
          <w:numId w:val="9"/>
        </w:numPr>
        <w:rPr>
          <w:rFonts w:ascii="Arial Narrow" w:hAnsi="Arial Narrow"/>
        </w:rPr>
      </w:pPr>
      <w:r>
        <w:rPr>
          <w:rFonts w:ascii="Arial Narrow" w:hAnsi="Arial Narrow"/>
        </w:rPr>
        <w:t>Transparency of valuations: Underlying each of the above, there is a</w:t>
      </w:r>
      <w:r w:rsidR="003B7BDF">
        <w:rPr>
          <w:rFonts w:ascii="Arial Narrow" w:hAnsi="Arial Narrow"/>
        </w:rPr>
        <w:t xml:space="preserve"> yearning from investors</w:t>
      </w:r>
      <w:r w:rsidR="00653325">
        <w:rPr>
          <w:rFonts w:ascii="Arial Narrow" w:hAnsi="Arial Narrow"/>
        </w:rPr>
        <w:t xml:space="preserve"> for asset managers to provide a greater level of transparency in relation to valuations</w:t>
      </w:r>
      <w:r w:rsidR="004D162F">
        <w:rPr>
          <w:rFonts w:ascii="Arial Narrow" w:hAnsi="Arial Narrow"/>
        </w:rPr>
        <w:t xml:space="preserve"> performed for the assets that they are invested in.  How do regulators, assets managers and the valuation profession </w:t>
      </w:r>
      <w:r w:rsidR="00F9791C">
        <w:rPr>
          <w:rFonts w:ascii="Arial Narrow" w:hAnsi="Arial Narrow"/>
        </w:rPr>
        <w:t>manage such a market demand?</w:t>
      </w:r>
    </w:p>
    <w:p w14:paraId="79A75B72" w14:textId="5F3387BE" w:rsidR="00E30A35" w:rsidRPr="00963F86" w:rsidRDefault="005B52AD" w:rsidP="00205149">
      <w:pPr>
        <w:pStyle w:val="a3"/>
        <w:numPr>
          <w:ilvl w:val="0"/>
          <w:numId w:val="9"/>
        </w:numPr>
        <w:rPr>
          <w:rFonts w:ascii="Arial Narrow" w:hAnsi="Arial Narrow"/>
        </w:rPr>
      </w:pPr>
      <w:r w:rsidRPr="00963F86">
        <w:rPr>
          <w:rFonts w:ascii="Arial Narrow" w:hAnsi="Arial Narrow"/>
        </w:rPr>
        <w:t xml:space="preserve">Attracting significant media attention </w:t>
      </w:r>
      <w:r w:rsidR="000B79CD" w:rsidRPr="00963F86">
        <w:rPr>
          <w:rFonts w:ascii="Arial Narrow" w:hAnsi="Arial Narrow"/>
        </w:rPr>
        <w:t>in Europe, North America</w:t>
      </w:r>
      <w:r w:rsidRPr="00963F86">
        <w:rPr>
          <w:rFonts w:ascii="Arial Narrow" w:hAnsi="Arial Narrow"/>
        </w:rPr>
        <w:t xml:space="preserve"> and Australia</w:t>
      </w:r>
      <w:r w:rsidR="00E30A35" w:rsidRPr="00963F86">
        <w:rPr>
          <w:rFonts w:ascii="Arial Narrow" w:hAnsi="Arial Narrow"/>
        </w:rPr>
        <w:t xml:space="preserve"> of where </w:t>
      </w:r>
      <w:r w:rsidR="008453AA" w:rsidRPr="00963F86">
        <w:rPr>
          <w:rFonts w:ascii="Arial Narrow" w:hAnsi="Arial Narrow"/>
        </w:rPr>
        <w:t xml:space="preserve">listed products are quite mature and there is a high level of transparency </w:t>
      </w:r>
      <w:r w:rsidR="00655518" w:rsidRPr="00963F86">
        <w:rPr>
          <w:rFonts w:ascii="Arial Narrow" w:hAnsi="Arial Narrow"/>
        </w:rPr>
        <w:t>required from a regulatory perspective</w:t>
      </w:r>
      <w:r w:rsidR="008453AA" w:rsidRPr="00963F86">
        <w:rPr>
          <w:rFonts w:ascii="Arial Narrow" w:hAnsi="Arial Narrow"/>
        </w:rPr>
        <w:t xml:space="preserve"> with listed markets.</w:t>
      </w:r>
    </w:p>
    <w:p w14:paraId="218C4EA2" w14:textId="77777777" w:rsidR="001D605F" w:rsidRPr="00963F86" w:rsidRDefault="00502E24" w:rsidP="00502E24">
      <w:pPr>
        <w:pStyle w:val="a3"/>
        <w:numPr>
          <w:ilvl w:val="0"/>
          <w:numId w:val="9"/>
        </w:numPr>
        <w:rPr>
          <w:rFonts w:ascii="Arial Narrow" w:hAnsi="Arial Narrow"/>
        </w:rPr>
      </w:pPr>
      <w:r w:rsidRPr="00963F86">
        <w:rPr>
          <w:rFonts w:ascii="Arial Narrow" w:hAnsi="Arial Narrow"/>
        </w:rPr>
        <w:t>Trust in valuation: seeing the disparity between listed prices and NAV’s is often resulting in the credibility of the valuation profession to being called into question.</w:t>
      </w:r>
    </w:p>
    <w:p w14:paraId="3EAF4E69" w14:textId="133213F5" w:rsidR="00502E24" w:rsidRPr="00963F86" w:rsidRDefault="00502E24" w:rsidP="00502E24">
      <w:pPr>
        <w:pStyle w:val="a3"/>
        <w:numPr>
          <w:ilvl w:val="0"/>
          <w:numId w:val="9"/>
        </w:numPr>
        <w:rPr>
          <w:rFonts w:ascii="Arial Narrow" w:hAnsi="Arial Narrow"/>
        </w:rPr>
      </w:pPr>
      <w:r w:rsidRPr="00963F86">
        <w:rPr>
          <w:rFonts w:ascii="Arial Narrow" w:hAnsi="Arial Narrow"/>
        </w:rPr>
        <w:t>Th</w:t>
      </w:r>
      <w:r w:rsidR="001D605F" w:rsidRPr="00963F86">
        <w:rPr>
          <w:rFonts w:ascii="Arial Narrow" w:hAnsi="Arial Narrow"/>
        </w:rPr>
        <w:t>is</w:t>
      </w:r>
      <w:r w:rsidRPr="00963F86">
        <w:rPr>
          <w:rFonts w:ascii="Arial Narrow" w:hAnsi="Arial Narrow"/>
        </w:rPr>
        <w:t xml:space="preserve"> is combined with a heightened sense of scepticism in certain market</w:t>
      </w:r>
      <w:r w:rsidR="00DE137F">
        <w:rPr>
          <w:rFonts w:ascii="Arial Narrow" w:hAnsi="Arial Narrow"/>
        </w:rPr>
        <w:t>s</w:t>
      </w:r>
      <w:r w:rsidRPr="00963F86">
        <w:rPr>
          <w:rFonts w:ascii="Arial Narrow" w:hAnsi="Arial Narrow"/>
        </w:rPr>
        <w:t xml:space="preserve"> because of the liquidity mismatch with certain ‘real estate’ products, which isn’t necessary a valuation issue, but erodes trust</w:t>
      </w:r>
      <w:r w:rsidR="00534904" w:rsidRPr="00963F86">
        <w:rPr>
          <w:rFonts w:ascii="Arial Narrow" w:hAnsi="Arial Narrow"/>
        </w:rPr>
        <w:t xml:space="preserve"> and confidence</w:t>
      </w:r>
      <w:r w:rsidRPr="00963F86">
        <w:rPr>
          <w:rFonts w:ascii="Arial Narrow" w:hAnsi="Arial Narrow"/>
        </w:rPr>
        <w:t xml:space="preserve"> in products associated with the </w:t>
      </w:r>
      <w:r w:rsidR="00534904" w:rsidRPr="00963F86">
        <w:rPr>
          <w:rFonts w:ascii="Arial Narrow" w:hAnsi="Arial Narrow"/>
        </w:rPr>
        <w:t xml:space="preserve">‘private’ or ‘unlisted’ </w:t>
      </w:r>
      <w:r w:rsidRPr="00963F86">
        <w:rPr>
          <w:rFonts w:ascii="Arial Narrow" w:hAnsi="Arial Narrow"/>
        </w:rPr>
        <w:t>asset class</w:t>
      </w:r>
      <w:r w:rsidR="00534904" w:rsidRPr="00963F86">
        <w:rPr>
          <w:rFonts w:ascii="Arial Narrow" w:hAnsi="Arial Narrow"/>
        </w:rPr>
        <w:t xml:space="preserve"> amongst some </w:t>
      </w:r>
      <w:r w:rsidR="00986C46" w:rsidRPr="00963F86">
        <w:rPr>
          <w:rFonts w:ascii="Arial Narrow" w:hAnsi="Arial Narrow"/>
        </w:rPr>
        <w:t>individuals/sectors of the market</w:t>
      </w:r>
      <w:r w:rsidRPr="00963F86">
        <w:rPr>
          <w:rFonts w:ascii="Arial Narrow" w:hAnsi="Arial Narrow"/>
        </w:rPr>
        <w:t xml:space="preserve">.  For </w:t>
      </w:r>
      <w:proofErr w:type="gramStart"/>
      <w:r w:rsidRPr="00963F86">
        <w:rPr>
          <w:rFonts w:ascii="Arial Narrow" w:hAnsi="Arial Narrow"/>
        </w:rPr>
        <w:t>example</w:t>
      </w:r>
      <w:proofErr w:type="gramEnd"/>
      <w:r w:rsidRPr="00963F86">
        <w:rPr>
          <w:rFonts w:ascii="Arial Narrow" w:hAnsi="Arial Narrow"/>
        </w:rPr>
        <w:t xml:space="preserve"> Blackstone, Starwood Capital and KKR real estate liquidity/redemption issues.</w:t>
      </w:r>
    </w:p>
    <w:p w14:paraId="31A9B65C" w14:textId="77777777" w:rsidR="00201ECE" w:rsidRPr="00BE03BD" w:rsidRDefault="00201ECE" w:rsidP="00BE03BD"/>
    <w:p w14:paraId="2D17D58F" w14:textId="6FB1EC9A" w:rsidR="006B0D7E" w:rsidRDefault="006B0D7E" w:rsidP="003C7490">
      <w:pPr>
        <w:pStyle w:val="1"/>
        <w:numPr>
          <w:ilvl w:val="0"/>
          <w:numId w:val="7"/>
        </w:numPr>
        <w:rPr>
          <w:rFonts w:ascii="Arial Narrow" w:hAnsi="Arial Narrow"/>
          <w:b/>
          <w:bCs/>
          <w:color w:val="000000" w:themeColor="text1"/>
          <w:sz w:val="22"/>
          <w:szCs w:val="22"/>
        </w:rPr>
      </w:pPr>
      <w:bookmarkStart w:id="2" w:name="_Toc134193121"/>
      <w:r w:rsidRPr="0026757D">
        <w:rPr>
          <w:rFonts w:ascii="Arial Narrow" w:hAnsi="Arial Narrow"/>
          <w:b/>
          <w:bCs/>
          <w:color w:val="000000" w:themeColor="text1"/>
          <w:sz w:val="22"/>
          <w:szCs w:val="22"/>
        </w:rPr>
        <w:t>What are the consequences for the difference and why does it even matter?</w:t>
      </w:r>
      <w:bookmarkEnd w:id="2"/>
    </w:p>
    <w:p w14:paraId="7D06FB1B" w14:textId="77777777" w:rsidR="0026757D" w:rsidRPr="0026757D" w:rsidRDefault="0026757D" w:rsidP="0026757D"/>
    <w:p w14:paraId="2EE83C9D" w14:textId="532C8E9C" w:rsidR="009934CE" w:rsidRDefault="00B55E33" w:rsidP="006B0D7E">
      <w:pPr>
        <w:pStyle w:val="a3"/>
        <w:numPr>
          <w:ilvl w:val="0"/>
          <w:numId w:val="3"/>
        </w:numPr>
        <w:rPr>
          <w:rFonts w:ascii="Arial Narrow" w:hAnsi="Arial Narrow"/>
        </w:rPr>
      </w:pPr>
      <w:r>
        <w:rPr>
          <w:rFonts w:ascii="Arial Narrow" w:hAnsi="Arial Narrow"/>
        </w:rPr>
        <w:t>S</w:t>
      </w:r>
      <w:r w:rsidR="00572306">
        <w:rPr>
          <w:rFonts w:ascii="Arial Narrow" w:hAnsi="Arial Narrow"/>
        </w:rPr>
        <w:t>ophisticated/active</w:t>
      </w:r>
      <w:r w:rsidR="00572306" w:rsidRPr="00572306">
        <w:rPr>
          <w:rFonts w:ascii="Arial Narrow" w:hAnsi="Arial Narrow"/>
        </w:rPr>
        <w:t xml:space="preserve"> investors</w:t>
      </w:r>
      <w:r>
        <w:rPr>
          <w:rFonts w:ascii="Arial Narrow" w:hAnsi="Arial Narrow"/>
        </w:rPr>
        <w:t>:</w:t>
      </w:r>
      <w:r w:rsidR="00572306" w:rsidRPr="00572306">
        <w:rPr>
          <w:rFonts w:ascii="Arial Narrow" w:hAnsi="Arial Narrow"/>
        </w:rPr>
        <w:t xml:space="preserve"> taking advantage of the disconnect by arbitraging the difference in pricing between the two asset classes, selling their holdings in private</w:t>
      </w:r>
      <w:r w:rsidR="00AC4DE1">
        <w:rPr>
          <w:rFonts w:ascii="Arial Narrow" w:hAnsi="Arial Narrow"/>
        </w:rPr>
        <w:t xml:space="preserve"> </w:t>
      </w:r>
      <w:r w:rsidR="00572306">
        <w:rPr>
          <w:rFonts w:ascii="Arial Narrow" w:hAnsi="Arial Narrow"/>
        </w:rPr>
        <w:t>funds</w:t>
      </w:r>
      <w:r w:rsidR="00DB3AE6">
        <w:rPr>
          <w:rFonts w:ascii="Arial Narrow" w:hAnsi="Arial Narrow"/>
        </w:rPr>
        <w:t xml:space="preserve"> (when valuations or unit prices haven’t moved markedly)</w:t>
      </w:r>
      <w:r w:rsidR="00572306" w:rsidRPr="00572306">
        <w:rPr>
          <w:rFonts w:ascii="Arial Narrow" w:hAnsi="Arial Narrow"/>
        </w:rPr>
        <w:t xml:space="preserve"> and buying publicly listed REITs instead</w:t>
      </w:r>
      <w:r w:rsidR="00DB3AE6">
        <w:rPr>
          <w:rFonts w:ascii="Arial Narrow" w:hAnsi="Arial Narrow"/>
        </w:rPr>
        <w:t xml:space="preserve"> (which have already been strongly sold off anticipating future headwinds)</w:t>
      </w:r>
      <w:r w:rsidR="00572306" w:rsidRPr="00572306">
        <w:rPr>
          <w:rFonts w:ascii="Arial Narrow" w:hAnsi="Arial Narrow"/>
        </w:rPr>
        <w:t xml:space="preserve">, </w:t>
      </w:r>
      <w:r w:rsidR="009934CE">
        <w:rPr>
          <w:rFonts w:ascii="Arial Narrow" w:hAnsi="Arial Narrow"/>
        </w:rPr>
        <w:t>“</w:t>
      </w:r>
      <w:r w:rsidR="00572306" w:rsidRPr="00572306">
        <w:rPr>
          <w:rFonts w:ascii="Arial Narrow" w:hAnsi="Arial Narrow"/>
        </w:rPr>
        <w:t>even if the asset profiles aren’t exactly like-for-like</w:t>
      </w:r>
      <w:r w:rsidR="009934CE">
        <w:rPr>
          <w:rFonts w:ascii="Arial Narrow" w:hAnsi="Arial Narrow"/>
        </w:rPr>
        <w:t>”</w:t>
      </w:r>
      <w:r w:rsidR="00DB3AE6">
        <w:rPr>
          <w:rFonts w:ascii="Arial Narrow" w:hAnsi="Arial Narrow"/>
        </w:rPr>
        <w:t xml:space="preserve"> (see below)</w:t>
      </w:r>
      <w:r w:rsidR="00572306">
        <w:rPr>
          <w:rFonts w:ascii="Arial Narrow" w:hAnsi="Arial Narrow"/>
        </w:rPr>
        <w:t>.</w:t>
      </w:r>
    </w:p>
    <w:p w14:paraId="78B62147" w14:textId="6D4927D0" w:rsidR="006B0D7E" w:rsidRDefault="009934CE" w:rsidP="006B0D7E">
      <w:pPr>
        <w:pStyle w:val="a3"/>
        <w:numPr>
          <w:ilvl w:val="0"/>
          <w:numId w:val="3"/>
        </w:numPr>
        <w:rPr>
          <w:rFonts w:ascii="Arial Narrow" w:hAnsi="Arial Narrow"/>
        </w:rPr>
      </w:pPr>
      <w:r>
        <w:rPr>
          <w:rFonts w:ascii="Arial Narrow" w:hAnsi="Arial Narrow"/>
        </w:rPr>
        <w:t xml:space="preserve">Retail investors: </w:t>
      </w:r>
      <w:r w:rsidR="00572306">
        <w:rPr>
          <w:rFonts w:ascii="Arial Narrow" w:hAnsi="Arial Narrow"/>
        </w:rPr>
        <w:t xml:space="preserve">For those that are less sophisticated or passive however, this is resulting in them continuing to buy into private REITs/funds at </w:t>
      </w:r>
      <w:r w:rsidR="00DB3AE6">
        <w:rPr>
          <w:rFonts w:ascii="Arial Narrow" w:hAnsi="Arial Narrow"/>
        </w:rPr>
        <w:t xml:space="preserve">largely unchanged </w:t>
      </w:r>
      <w:r w:rsidR="00572306">
        <w:rPr>
          <w:rFonts w:ascii="Arial Narrow" w:hAnsi="Arial Narrow"/>
        </w:rPr>
        <w:t>unit prices</w:t>
      </w:r>
      <w:r w:rsidR="00E9513B">
        <w:rPr>
          <w:rFonts w:ascii="Arial Narrow" w:hAnsi="Arial Narrow"/>
        </w:rPr>
        <w:t xml:space="preserve"> (set by valuations)</w:t>
      </w:r>
      <w:r w:rsidR="00572306">
        <w:rPr>
          <w:rFonts w:ascii="Arial Narrow" w:hAnsi="Arial Narrow"/>
        </w:rPr>
        <w:t xml:space="preserve">, with </w:t>
      </w:r>
      <w:r w:rsidR="00572306">
        <w:rPr>
          <w:rFonts w:ascii="Arial Narrow" w:hAnsi="Arial Narrow"/>
        </w:rPr>
        <w:lastRenderedPageBreak/>
        <w:t>those funds potentially “staring down the barrel” of a reduction in unit prices as a result of upcoming downward revaluations</w:t>
      </w:r>
      <w:r w:rsidR="00DB3AE6">
        <w:rPr>
          <w:rFonts w:ascii="Arial Narrow" w:hAnsi="Arial Narrow"/>
        </w:rPr>
        <w:t xml:space="preserve"> (say </w:t>
      </w:r>
      <w:proofErr w:type="gramStart"/>
      <w:r w:rsidR="00DB3AE6">
        <w:rPr>
          <w:rFonts w:ascii="Arial Narrow" w:hAnsi="Arial Narrow"/>
        </w:rPr>
        <w:t>at</w:t>
      </w:r>
      <w:proofErr w:type="gramEnd"/>
      <w:r w:rsidR="00DB3AE6">
        <w:rPr>
          <w:rFonts w:ascii="Arial Narrow" w:hAnsi="Arial Narrow"/>
        </w:rPr>
        <w:t xml:space="preserve"> 30 June 2023)</w:t>
      </w:r>
      <w:r w:rsidR="00572306">
        <w:rPr>
          <w:rFonts w:ascii="Arial Narrow" w:hAnsi="Arial Narrow"/>
        </w:rPr>
        <w:t>.</w:t>
      </w:r>
    </w:p>
    <w:p w14:paraId="5913F96B" w14:textId="1A9BC030" w:rsidR="00B55E33" w:rsidRDefault="00572306" w:rsidP="006B0D7E">
      <w:pPr>
        <w:pStyle w:val="a3"/>
        <w:numPr>
          <w:ilvl w:val="0"/>
          <w:numId w:val="3"/>
        </w:numPr>
        <w:rPr>
          <w:rFonts w:ascii="Arial Narrow" w:hAnsi="Arial Narrow"/>
        </w:rPr>
      </w:pPr>
      <w:r>
        <w:rPr>
          <w:rFonts w:ascii="Arial Narrow" w:hAnsi="Arial Narrow"/>
        </w:rPr>
        <w:t xml:space="preserve">Erosion of trust in asset managers/valuations: this scenario creates a trust issue in that </w:t>
      </w:r>
      <w:r w:rsidR="009934CE">
        <w:rPr>
          <w:rFonts w:ascii="Arial Narrow" w:hAnsi="Arial Narrow"/>
        </w:rPr>
        <w:t>retail investors</w:t>
      </w:r>
      <w:r>
        <w:rPr>
          <w:rFonts w:ascii="Arial Narrow" w:hAnsi="Arial Narrow"/>
        </w:rPr>
        <w:t xml:space="preserve"> think they have bought into a </w:t>
      </w:r>
      <w:r w:rsidR="00B55E33">
        <w:rPr>
          <w:rFonts w:ascii="Arial Narrow" w:hAnsi="Arial Narrow"/>
        </w:rPr>
        <w:t xml:space="preserve">private REIT/fund </w:t>
      </w:r>
      <w:r>
        <w:rPr>
          <w:rFonts w:ascii="Arial Narrow" w:hAnsi="Arial Narrow"/>
        </w:rPr>
        <w:t xml:space="preserve">product that was effectively impaired </w:t>
      </w:r>
      <w:proofErr w:type="gramStart"/>
      <w:r>
        <w:rPr>
          <w:rFonts w:ascii="Arial Narrow" w:hAnsi="Arial Narrow"/>
        </w:rPr>
        <w:t>but yet</w:t>
      </w:r>
      <w:proofErr w:type="gramEnd"/>
      <w:r>
        <w:rPr>
          <w:rFonts w:ascii="Arial Narrow" w:hAnsi="Arial Narrow"/>
        </w:rPr>
        <w:t xml:space="preserve"> whose </w:t>
      </w:r>
      <w:r w:rsidR="00DB3AE6">
        <w:rPr>
          <w:rFonts w:ascii="Arial Narrow" w:hAnsi="Arial Narrow"/>
        </w:rPr>
        <w:t xml:space="preserve">unit </w:t>
      </w:r>
      <w:r>
        <w:rPr>
          <w:rFonts w:ascii="Arial Narrow" w:hAnsi="Arial Narrow"/>
        </w:rPr>
        <w:t xml:space="preserve">price was still set at an </w:t>
      </w:r>
      <w:r w:rsidR="00DB3AE6">
        <w:rPr>
          <w:rFonts w:ascii="Arial Narrow" w:hAnsi="Arial Narrow"/>
        </w:rPr>
        <w:t>elevated</w:t>
      </w:r>
      <w:r>
        <w:rPr>
          <w:rFonts w:ascii="Arial Narrow" w:hAnsi="Arial Narrow"/>
        </w:rPr>
        <w:t xml:space="preserve"> level.</w:t>
      </w:r>
      <w:r w:rsidR="009934CE">
        <w:rPr>
          <w:rFonts w:ascii="Arial Narrow" w:hAnsi="Arial Narrow"/>
        </w:rPr>
        <w:t xml:space="preserve">  This is largely an asset governance issue</w:t>
      </w:r>
      <w:r w:rsidR="00DB3AE6">
        <w:rPr>
          <w:rFonts w:ascii="Arial Narrow" w:hAnsi="Arial Narrow"/>
        </w:rPr>
        <w:t xml:space="preserve"> (think </w:t>
      </w:r>
      <w:r w:rsidR="003C7490">
        <w:rPr>
          <w:rFonts w:ascii="Arial Narrow" w:hAnsi="Arial Narrow"/>
        </w:rPr>
        <w:t xml:space="preserve">periodic valuations, and </w:t>
      </w:r>
      <w:r w:rsidR="00DB3AE6">
        <w:rPr>
          <w:rFonts w:ascii="Arial Narrow" w:hAnsi="Arial Narrow"/>
        </w:rPr>
        <w:t xml:space="preserve">how often revaluations </w:t>
      </w:r>
      <w:r w:rsidR="003C7490">
        <w:rPr>
          <w:rFonts w:ascii="Arial Narrow" w:hAnsi="Arial Narrow"/>
        </w:rPr>
        <w:t>should take</w:t>
      </w:r>
      <w:r w:rsidR="00DB3AE6">
        <w:rPr>
          <w:rFonts w:ascii="Arial Narrow" w:hAnsi="Arial Narrow"/>
        </w:rPr>
        <w:t xml:space="preserve"> place)</w:t>
      </w:r>
      <w:r w:rsidR="009934CE">
        <w:rPr>
          <w:rFonts w:ascii="Arial Narrow" w:hAnsi="Arial Narrow"/>
        </w:rPr>
        <w:t xml:space="preserve">, but can also be a valuation issue if valuations are </w:t>
      </w:r>
      <w:r w:rsidR="00DB3AE6">
        <w:rPr>
          <w:rFonts w:ascii="Arial Narrow" w:hAnsi="Arial Narrow"/>
        </w:rPr>
        <w:t xml:space="preserve">deemed/labelled </w:t>
      </w:r>
      <w:r w:rsidR="009934CE">
        <w:rPr>
          <w:rFonts w:ascii="Arial Narrow" w:hAnsi="Arial Narrow"/>
        </w:rPr>
        <w:t>too slow to reflect value movements due to the lack of transaction evidence.</w:t>
      </w:r>
    </w:p>
    <w:p w14:paraId="3A61DF2D" w14:textId="091A387A" w:rsidR="00B55E33" w:rsidRDefault="00B55E33" w:rsidP="006B0D7E">
      <w:pPr>
        <w:pStyle w:val="a3"/>
        <w:numPr>
          <w:ilvl w:val="0"/>
          <w:numId w:val="3"/>
        </w:numPr>
        <w:rPr>
          <w:rFonts w:ascii="Arial Narrow" w:hAnsi="Arial Narrow"/>
        </w:rPr>
      </w:pPr>
      <w:r>
        <w:rPr>
          <w:rFonts w:ascii="Arial Narrow" w:hAnsi="Arial Narrow"/>
        </w:rPr>
        <w:t>Managed funds/superannuation funds/pension funds: this erosion of trust is particularly eviden</w:t>
      </w:r>
      <w:r w:rsidR="00DB3AE6">
        <w:rPr>
          <w:rFonts w:ascii="Arial Narrow" w:hAnsi="Arial Narrow"/>
        </w:rPr>
        <w:t>t</w:t>
      </w:r>
      <w:r>
        <w:rPr>
          <w:rFonts w:ascii="Arial Narrow" w:hAnsi="Arial Narrow"/>
        </w:rPr>
        <w:t xml:space="preserve"> in this space where there </w:t>
      </w:r>
      <w:proofErr w:type="gramStart"/>
      <w:r>
        <w:rPr>
          <w:rFonts w:ascii="Arial Narrow" w:hAnsi="Arial Narrow"/>
        </w:rPr>
        <w:t>are</w:t>
      </w:r>
      <w:proofErr w:type="gramEnd"/>
      <w:r>
        <w:rPr>
          <w:rFonts w:ascii="Arial Narrow" w:hAnsi="Arial Narrow"/>
        </w:rPr>
        <w:t xml:space="preserve"> a significant volume of less sophisticated or passive investors</w:t>
      </w:r>
      <w:r w:rsidR="00DB3AE6">
        <w:rPr>
          <w:rFonts w:ascii="Arial Narrow" w:hAnsi="Arial Narrow"/>
        </w:rPr>
        <w:t>, which is drawing significant media criticism in some markets</w:t>
      </w:r>
      <w:r>
        <w:rPr>
          <w:rFonts w:ascii="Arial Narrow" w:hAnsi="Arial Narrow"/>
        </w:rPr>
        <w:t>.</w:t>
      </w:r>
    </w:p>
    <w:p w14:paraId="773D5ACF" w14:textId="25999381" w:rsidR="00572306" w:rsidRDefault="009934CE" w:rsidP="006B0D7E">
      <w:pPr>
        <w:pStyle w:val="a3"/>
        <w:numPr>
          <w:ilvl w:val="0"/>
          <w:numId w:val="3"/>
        </w:numPr>
        <w:rPr>
          <w:rFonts w:ascii="Arial Narrow" w:hAnsi="Arial Narrow"/>
        </w:rPr>
      </w:pPr>
      <w:r>
        <w:rPr>
          <w:rFonts w:ascii="Arial Narrow" w:hAnsi="Arial Narrow"/>
        </w:rPr>
        <w:t xml:space="preserve">Issue here </w:t>
      </w:r>
      <w:r w:rsidR="00DB3AE6">
        <w:rPr>
          <w:rFonts w:ascii="Arial Narrow" w:hAnsi="Arial Narrow"/>
        </w:rPr>
        <w:t xml:space="preserve">for valuers </w:t>
      </w:r>
      <w:r>
        <w:rPr>
          <w:rFonts w:ascii="Arial Narrow" w:hAnsi="Arial Narrow"/>
        </w:rPr>
        <w:t xml:space="preserve">being: </w:t>
      </w:r>
      <w:r w:rsidR="00DB3AE6">
        <w:rPr>
          <w:rFonts w:ascii="Arial Narrow" w:hAnsi="Arial Narrow"/>
        </w:rPr>
        <w:t>are there true differences that we need to acknowledge between these</w:t>
      </w:r>
      <w:r w:rsidR="00FC4A52">
        <w:rPr>
          <w:rFonts w:ascii="Arial Narrow" w:hAnsi="Arial Narrow"/>
        </w:rPr>
        <w:t xml:space="preserve"> different asset classes (listed v unlisted) despite being underpinned by the same asset</w:t>
      </w:r>
      <w:r w:rsidR="00F048E5">
        <w:rPr>
          <w:rFonts w:ascii="Arial Narrow" w:hAnsi="Arial Narrow"/>
        </w:rPr>
        <w:t xml:space="preserve"> classe</w:t>
      </w:r>
      <w:r w:rsidR="00FC4A52">
        <w:rPr>
          <w:rFonts w:ascii="Arial Narrow" w:hAnsi="Arial Narrow"/>
        </w:rPr>
        <w:t xml:space="preserve">s, </w:t>
      </w:r>
      <w:r>
        <w:rPr>
          <w:rFonts w:ascii="Arial Narrow" w:hAnsi="Arial Narrow"/>
        </w:rPr>
        <w:t xml:space="preserve">do </w:t>
      </w:r>
      <w:r w:rsidR="00B55E33">
        <w:rPr>
          <w:rFonts w:ascii="Arial Narrow" w:hAnsi="Arial Narrow"/>
        </w:rPr>
        <w:t>valuers</w:t>
      </w:r>
      <w:r>
        <w:rPr>
          <w:rFonts w:ascii="Arial Narrow" w:hAnsi="Arial Narrow"/>
        </w:rPr>
        <w:t xml:space="preserve"> </w:t>
      </w:r>
      <w:r w:rsidR="00FC4A52">
        <w:rPr>
          <w:rFonts w:ascii="Arial Narrow" w:hAnsi="Arial Narrow"/>
        </w:rPr>
        <w:t xml:space="preserve">need to </w:t>
      </w:r>
      <w:r>
        <w:rPr>
          <w:rFonts w:ascii="Arial Narrow" w:hAnsi="Arial Narrow"/>
        </w:rPr>
        <w:t>wait for transaction evidence</w:t>
      </w:r>
      <w:r w:rsidR="003C7490">
        <w:rPr>
          <w:rFonts w:ascii="Arial Narrow" w:hAnsi="Arial Narrow"/>
        </w:rPr>
        <w:t>,</w:t>
      </w:r>
      <w:r>
        <w:rPr>
          <w:rFonts w:ascii="Arial Narrow" w:hAnsi="Arial Narrow"/>
        </w:rPr>
        <w:t xml:space="preserve"> or can the valuer consider other indicators and sentiment</w:t>
      </w:r>
      <w:r w:rsidR="00FC4A52">
        <w:rPr>
          <w:rFonts w:ascii="Arial Narrow" w:hAnsi="Arial Narrow"/>
        </w:rPr>
        <w:t>?</w:t>
      </w:r>
    </w:p>
    <w:p w14:paraId="2A011F99" w14:textId="19F2D9FD" w:rsidR="0031459B" w:rsidRPr="005547A7" w:rsidRDefault="00325110" w:rsidP="00863914">
      <w:pPr>
        <w:pStyle w:val="a3"/>
        <w:numPr>
          <w:ilvl w:val="0"/>
          <w:numId w:val="3"/>
        </w:numPr>
        <w:rPr>
          <w:rFonts w:ascii="Arial Narrow" w:hAnsi="Arial Narrow"/>
        </w:rPr>
      </w:pPr>
      <w:r>
        <w:rPr>
          <w:rFonts w:ascii="Arial Narrow" w:hAnsi="Arial Narrow"/>
        </w:rPr>
        <w:t>Introduction of investment valuation guidelines by RICS in UK</w:t>
      </w:r>
      <w:r w:rsidR="00572306">
        <w:rPr>
          <w:rFonts w:ascii="Arial Narrow" w:hAnsi="Arial Narrow"/>
        </w:rPr>
        <w:t xml:space="preserve">: </w:t>
      </w:r>
      <w:r w:rsidR="00FC4A52">
        <w:rPr>
          <w:rFonts w:ascii="Arial Narrow" w:hAnsi="Arial Narrow"/>
        </w:rPr>
        <w:t xml:space="preserve">worthwhile </w:t>
      </w:r>
      <w:proofErr w:type="gramStart"/>
      <w:r w:rsidR="00572306">
        <w:rPr>
          <w:rFonts w:ascii="Arial Narrow" w:hAnsi="Arial Narrow"/>
        </w:rPr>
        <w:t>mak</w:t>
      </w:r>
      <w:r w:rsidR="00FC4A52">
        <w:rPr>
          <w:rFonts w:ascii="Arial Narrow" w:hAnsi="Arial Narrow"/>
        </w:rPr>
        <w:t>ing</w:t>
      </w:r>
      <w:r w:rsidR="00572306">
        <w:rPr>
          <w:rFonts w:ascii="Arial Narrow" w:hAnsi="Arial Narrow"/>
        </w:rPr>
        <w:t xml:space="preserve"> reference</w:t>
      </w:r>
      <w:proofErr w:type="gramEnd"/>
      <w:r w:rsidR="00572306">
        <w:rPr>
          <w:rFonts w:ascii="Arial Narrow" w:hAnsi="Arial Narrow"/>
        </w:rPr>
        <w:t xml:space="preserve"> to the recent findings from the RICS</w:t>
      </w:r>
      <w:r w:rsidR="009934CE">
        <w:rPr>
          <w:rFonts w:ascii="Arial Narrow" w:hAnsi="Arial Narrow"/>
        </w:rPr>
        <w:t xml:space="preserve"> Independent Review of Real Estate Investment Valuations.</w:t>
      </w:r>
      <w:r w:rsidR="00B55E33">
        <w:rPr>
          <w:rFonts w:ascii="Arial Narrow" w:hAnsi="Arial Narrow"/>
        </w:rPr>
        <w:t xml:space="preserve">  Independence, rotation</w:t>
      </w:r>
      <w:r w:rsidR="00423F34">
        <w:rPr>
          <w:rFonts w:ascii="Arial Narrow" w:hAnsi="Arial Narrow"/>
        </w:rPr>
        <w:t>, DCF, data analytics.</w:t>
      </w:r>
    </w:p>
    <w:p w14:paraId="30E9F46C" w14:textId="4BC2D221" w:rsidR="00863914" w:rsidRDefault="00863914" w:rsidP="003C7490">
      <w:pPr>
        <w:pStyle w:val="1"/>
        <w:numPr>
          <w:ilvl w:val="0"/>
          <w:numId w:val="7"/>
        </w:numPr>
        <w:rPr>
          <w:rFonts w:ascii="Arial Narrow" w:hAnsi="Arial Narrow"/>
          <w:b/>
          <w:bCs/>
          <w:color w:val="000000" w:themeColor="text1"/>
          <w:sz w:val="22"/>
          <w:szCs w:val="22"/>
        </w:rPr>
      </w:pPr>
      <w:bookmarkStart w:id="3" w:name="_Toc134193122"/>
      <w:r w:rsidRPr="0026757D">
        <w:rPr>
          <w:rFonts w:ascii="Arial Narrow" w:hAnsi="Arial Narrow"/>
          <w:b/>
          <w:bCs/>
          <w:color w:val="000000" w:themeColor="text1"/>
          <w:sz w:val="22"/>
          <w:szCs w:val="22"/>
        </w:rPr>
        <w:t>Characteristics of each asset class</w:t>
      </w:r>
      <w:bookmarkEnd w:id="3"/>
    </w:p>
    <w:p w14:paraId="0FD927F1" w14:textId="77777777" w:rsidR="0026757D" w:rsidRPr="0026757D" w:rsidRDefault="0026757D" w:rsidP="0026757D"/>
    <w:p w14:paraId="43BF4A71" w14:textId="6397C061" w:rsidR="00FC4A52" w:rsidRDefault="00FC4A52" w:rsidP="005D5D28">
      <w:pPr>
        <w:pStyle w:val="a3"/>
        <w:numPr>
          <w:ilvl w:val="0"/>
          <w:numId w:val="4"/>
        </w:numPr>
        <w:rPr>
          <w:rFonts w:ascii="Arial Narrow" w:hAnsi="Arial Narrow"/>
        </w:rPr>
      </w:pPr>
      <w:r>
        <w:rPr>
          <w:rFonts w:ascii="Arial Narrow" w:hAnsi="Arial Narrow"/>
        </w:rPr>
        <w:t>“</w:t>
      </w:r>
      <w:r w:rsidRPr="00FC4A52">
        <w:rPr>
          <w:rFonts w:ascii="Arial Narrow" w:hAnsi="Arial Narrow"/>
        </w:rPr>
        <w:t xml:space="preserve">Some investors are taking advantage of the disconnect by arbitraging the difference in pricing between the two asset classes, selling their holdings in private REITs and buying publicly listed REITs instead, </w:t>
      </w:r>
      <w:r w:rsidRPr="00FC4A52">
        <w:rPr>
          <w:rFonts w:ascii="Arial Narrow" w:hAnsi="Arial Narrow"/>
          <w:u w:val="single"/>
        </w:rPr>
        <w:t>even if the asset profiles aren’t exactly like-for-like</w:t>
      </w:r>
      <w:r w:rsidRPr="00FC4A52">
        <w:rPr>
          <w:rFonts w:ascii="Arial Narrow" w:hAnsi="Arial Narrow"/>
        </w:rPr>
        <w:t>.</w:t>
      </w:r>
      <w:r>
        <w:rPr>
          <w:rFonts w:ascii="Arial Narrow" w:hAnsi="Arial Narrow"/>
        </w:rPr>
        <w:t xml:space="preserve">” (AFR, </w:t>
      </w:r>
      <w:r w:rsidRPr="00FC4A52">
        <w:rPr>
          <w:rFonts w:ascii="Arial Narrow" w:hAnsi="Arial Narrow"/>
        </w:rPr>
        <w:t>REIT redemptions another warning for unlisted property</w:t>
      </w:r>
      <w:r>
        <w:rPr>
          <w:rFonts w:ascii="Arial Narrow" w:hAnsi="Arial Narrow"/>
        </w:rPr>
        <w:t xml:space="preserve">, 3 February 2023) … so how are they different? </w:t>
      </w:r>
    </w:p>
    <w:p w14:paraId="2E59C6F6" w14:textId="0CBBDB17" w:rsidR="00423F34" w:rsidRDefault="005D5D28" w:rsidP="005D5D28">
      <w:pPr>
        <w:pStyle w:val="a3"/>
        <w:numPr>
          <w:ilvl w:val="0"/>
          <w:numId w:val="4"/>
        </w:numPr>
        <w:rPr>
          <w:rFonts w:ascii="Arial Narrow" w:hAnsi="Arial Narrow"/>
        </w:rPr>
      </w:pPr>
      <w:r w:rsidRPr="005D5D28">
        <w:rPr>
          <w:rFonts w:ascii="Arial Narrow" w:hAnsi="Arial Narrow"/>
        </w:rPr>
        <w:t xml:space="preserve">Despite </w:t>
      </w:r>
      <w:r>
        <w:rPr>
          <w:rFonts w:ascii="Arial Narrow" w:hAnsi="Arial Narrow"/>
        </w:rPr>
        <w:t xml:space="preserve">each being underpinned by the same assets, both real estate and infrastructure investments exhibit distinctly difference features when </w:t>
      </w:r>
      <w:r w:rsidR="00886034">
        <w:rPr>
          <w:rFonts w:ascii="Arial Narrow" w:hAnsi="Arial Narrow"/>
        </w:rPr>
        <w:t>situated</w:t>
      </w:r>
      <w:r>
        <w:rPr>
          <w:rFonts w:ascii="Arial Narrow" w:hAnsi="Arial Narrow"/>
        </w:rPr>
        <w:t xml:space="preserve"> in a listed or unlisted environment.</w:t>
      </w:r>
    </w:p>
    <w:p w14:paraId="6FD200BE" w14:textId="693965A1" w:rsidR="005D5D28" w:rsidRPr="005D5D28" w:rsidRDefault="00423F34" w:rsidP="005D5D28">
      <w:pPr>
        <w:pStyle w:val="a3"/>
        <w:numPr>
          <w:ilvl w:val="0"/>
          <w:numId w:val="4"/>
        </w:numPr>
        <w:rPr>
          <w:rFonts w:ascii="Arial Narrow" w:hAnsi="Arial Narrow"/>
        </w:rPr>
      </w:pPr>
      <w:r>
        <w:rPr>
          <w:rFonts w:ascii="Arial Narrow" w:hAnsi="Arial Narrow"/>
        </w:rPr>
        <w:t xml:space="preserve">Listed and unlisted </w:t>
      </w:r>
      <w:r w:rsidRPr="00572306">
        <w:rPr>
          <w:rFonts w:ascii="Arial Narrow" w:hAnsi="Arial Narrow"/>
        </w:rPr>
        <w:t xml:space="preserve">asset profiles </w:t>
      </w:r>
      <w:r>
        <w:rPr>
          <w:rFonts w:ascii="Arial Narrow" w:hAnsi="Arial Narrow"/>
        </w:rPr>
        <w:t>far from being</w:t>
      </w:r>
      <w:r w:rsidRPr="00572306">
        <w:rPr>
          <w:rFonts w:ascii="Arial Narrow" w:hAnsi="Arial Narrow"/>
        </w:rPr>
        <w:t xml:space="preserve"> exactly like-for-like</w:t>
      </w:r>
      <w:r>
        <w:rPr>
          <w:rFonts w:ascii="Arial Narrow" w:hAnsi="Arial Narrow"/>
        </w:rPr>
        <w:t xml:space="preserve"> across both real estate and infrastructure.</w:t>
      </w:r>
    </w:p>
    <w:tbl>
      <w:tblPr>
        <w:tblStyle w:val="4"/>
        <w:tblW w:w="0" w:type="auto"/>
        <w:tblLook w:val="04A0" w:firstRow="1" w:lastRow="0" w:firstColumn="1" w:lastColumn="0" w:noHBand="0" w:noVBand="1"/>
      </w:tblPr>
      <w:tblGrid>
        <w:gridCol w:w="2405"/>
        <w:gridCol w:w="3305"/>
        <w:gridCol w:w="3306"/>
      </w:tblGrid>
      <w:tr w:rsidR="00863914" w14:paraId="36638634" w14:textId="77777777" w:rsidTr="00423F34">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1A70080" w14:textId="783B9674" w:rsidR="00863914" w:rsidRDefault="006B0D7E" w:rsidP="00863914">
            <w:pPr>
              <w:rPr>
                <w:rFonts w:ascii="Arial Narrow" w:hAnsi="Arial Narrow"/>
              </w:rPr>
            </w:pPr>
            <w:r>
              <w:rPr>
                <w:rFonts w:ascii="Arial Narrow" w:hAnsi="Arial Narrow"/>
              </w:rPr>
              <w:t>Characteristic</w:t>
            </w:r>
          </w:p>
        </w:tc>
        <w:tc>
          <w:tcPr>
            <w:tcW w:w="3305" w:type="dxa"/>
            <w:vAlign w:val="center"/>
          </w:tcPr>
          <w:p w14:paraId="0ECB0DD0" w14:textId="6FEBB289" w:rsidR="00863914" w:rsidRDefault="006B0D7E" w:rsidP="00863914">
            <w:pP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Listed</w:t>
            </w:r>
          </w:p>
        </w:tc>
        <w:tc>
          <w:tcPr>
            <w:tcW w:w="3306" w:type="dxa"/>
            <w:vAlign w:val="center"/>
          </w:tcPr>
          <w:p w14:paraId="1EDD99D7" w14:textId="394CCF37" w:rsidR="00863914" w:rsidRDefault="006B0D7E" w:rsidP="00863914">
            <w:pP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Unlisted</w:t>
            </w:r>
          </w:p>
        </w:tc>
      </w:tr>
      <w:tr w:rsidR="00863914" w14:paraId="568B5404" w14:textId="77777777" w:rsidTr="00423F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3203C1A" w14:textId="77777777" w:rsidR="00863914" w:rsidRPr="006B0D7E" w:rsidRDefault="006B0D7E" w:rsidP="00863914">
            <w:pPr>
              <w:rPr>
                <w:rFonts w:ascii="Arial Narrow" w:hAnsi="Arial Narrow"/>
                <w:b w:val="0"/>
                <w:bCs w:val="0"/>
              </w:rPr>
            </w:pPr>
            <w:r w:rsidRPr="006B0D7E">
              <w:rPr>
                <w:rFonts w:ascii="Arial Narrow" w:hAnsi="Arial Narrow"/>
                <w:b w:val="0"/>
                <w:bCs w:val="0"/>
              </w:rPr>
              <w:t>Asset traded</w:t>
            </w:r>
          </w:p>
        </w:tc>
        <w:tc>
          <w:tcPr>
            <w:tcW w:w="3305" w:type="dxa"/>
            <w:vAlign w:val="center"/>
          </w:tcPr>
          <w:p w14:paraId="26AE88AA" w14:textId="45ACBEF2" w:rsidR="00863914" w:rsidRPr="006B0D7E" w:rsidRDefault="006B0D7E" w:rsidP="0086391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Financial instrument (share)</w:t>
            </w:r>
          </w:p>
        </w:tc>
        <w:tc>
          <w:tcPr>
            <w:tcW w:w="3306" w:type="dxa"/>
            <w:vAlign w:val="center"/>
          </w:tcPr>
          <w:p w14:paraId="10BDA5B9" w14:textId="060F4024" w:rsidR="00863914" w:rsidRPr="006B0D7E" w:rsidRDefault="006B0D7E" w:rsidP="0086391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Whole asset / </w:t>
            </w:r>
            <w:r w:rsidR="00DD59DD">
              <w:rPr>
                <w:rFonts w:ascii="Arial Narrow" w:hAnsi="Arial Narrow"/>
              </w:rPr>
              <w:t xml:space="preserve">underlying </w:t>
            </w:r>
            <w:r>
              <w:rPr>
                <w:rFonts w:ascii="Arial Narrow" w:hAnsi="Arial Narrow"/>
              </w:rPr>
              <w:t>title</w:t>
            </w:r>
          </w:p>
        </w:tc>
      </w:tr>
      <w:tr w:rsidR="00863914" w14:paraId="7920AD0A" w14:textId="77777777" w:rsidTr="00423F34">
        <w:trPr>
          <w:trHeight w:val="56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A2304EE" w14:textId="77777777" w:rsidR="00863914" w:rsidRPr="006B0D7E" w:rsidRDefault="006B0D7E" w:rsidP="00863914">
            <w:pPr>
              <w:rPr>
                <w:rFonts w:ascii="Arial Narrow" w:hAnsi="Arial Narrow"/>
                <w:b w:val="0"/>
                <w:bCs w:val="0"/>
              </w:rPr>
            </w:pPr>
            <w:r>
              <w:rPr>
                <w:rFonts w:ascii="Arial Narrow" w:hAnsi="Arial Narrow"/>
                <w:b w:val="0"/>
                <w:bCs w:val="0"/>
              </w:rPr>
              <w:t>Liquidity</w:t>
            </w:r>
          </w:p>
        </w:tc>
        <w:tc>
          <w:tcPr>
            <w:tcW w:w="3305" w:type="dxa"/>
            <w:vAlign w:val="center"/>
          </w:tcPr>
          <w:p w14:paraId="6C80F261" w14:textId="094DE057" w:rsidR="00863914" w:rsidRPr="006B0D7E" w:rsidRDefault="006B0D7E" w:rsidP="0086391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High</w:t>
            </w:r>
          </w:p>
        </w:tc>
        <w:tc>
          <w:tcPr>
            <w:tcW w:w="3306" w:type="dxa"/>
            <w:vAlign w:val="center"/>
          </w:tcPr>
          <w:p w14:paraId="29DF5DDD" w14:textId="778F339A" w:rsidR="00863914" w:rsidRPr="006B0D7E" w:rsidRDefault="006B0D7E" w:rsidP="0086391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Low</w:t>
            </w:r>
          </w:p>
        </w:tc>
      </w:tr>
      <w:tr w:rsidR="00DD59DD" w14:paraId="348C1BA7" w14:textId="77777777" w:rsidTr="00423F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44993B9" w14:textId="237A476A" w:rsidR="00DD59DD" w:rsidRDefault="00DD59DD" w:rsidP="00863914">
            <w:pPr>
              <w:rPr>
                <w:rFonts w:ascii="Arial Narrow" w:hAnsi="Arial Narrow"/>
                <w:b w:val="0"/>
                <w:bCs w:val="0"/>
              </w:rPr>
            </w:pPr>
            <w:r>
              <w:rPr>
                <w:rFonts w:ascii="Arial Narrow" w:hAnsi="Arial Narrow"/>
                <w:b w:val="0"/>
                <w:bCs w:val="0"/>
              </w:rPr>
              <w:t>No shareholders/owners</w:t>
            </w:r>
          </w:p>
        </w:tc>
        <w:tc>
          <w:tcPr>
            <w:tcW w:w="3305" w:type="dxa"/>
            <w:vAlign w:val="center"/>
          </w:tcPr>
          <w:p w14:paraId="25B50DAE" w14:textId="261BA37E" w:rsidR="00DD59DD" w:rsidRDefault="00DD59DD" w:rsidP="00863914">
            <w:pPr>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Pr>
                <w:rFonts w:ascii="Arial Narrow" w:hAnsi="Arial Narrow"/>
              </w:rPr>
              <w:t>Typically</w:t>
            </w:r>
            <w:proofErr w:type="gramEnd"/>
            <w:r>
              <w:rPr>
                <w:rFonts w:ascii="Arial Narrow" w:hAnsi="Arial Narrow"/>
              </w:rPr>
              <w:t xml:space="preserve"> thousands</w:t>
            </w:r>
          </w:p>
        </w:tc>
        <w:tc>
          <w:tcPr>
            <w:tcW w:w="3306" w:type="dxa"/>
            <w:vAlign w:val="center"/>
          </w:tcPr>
          <w:p w14:paraId="2DDA8E26" w14:textId="06C7792A" w:rsidR="00DD59DD" w:rsidRDefault="00DD59DD" w:rsidP="0086391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Typically say 1-5</w:t>
            </w:r>
          </w:p>
        </w:tc>
      </w:tr>
      <w:tr w:rsidR="00863914" w14:paraId="51F41695" w14:textId="77777777" w:rsidTr="00423F34">
        <w:trPr>
          <w:trHeight w:val="56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59B5CF4" w14:textId="0E2F0745" w:rsidR="00863914" w:rsidRPr="006B0D7E" w:rsidRDefault="006B0D7E" w:rsidP="00863914">
            <w:pPr>
              <w:rPr>
                <w:rFonts w:ascii="Arial Narrow" w:hAnsi="Arial Narrow"/>
                <w:b w:val="0"/>
                <w:bCs w:val="0"/>
              </w:rPr>
            </w:pPr>
            <w:r>
              <w:rPr>
                <w:rFonts w:ascii="Arial Narrow" w:hAnsi="Arial Narrow"/>
                <w:b w:val="0"/>
                <w:bCs w:val="0"/>
              </w:rPr>
              <w:t>Sale timeline</w:t>
            </w:r>
          </w:p>
        </w:tc>
        <w:tc>
          <w:tcPr>
            <w:tcW w:w="3305" w:type="dxa"/>
            <w:vAlign w:val="center"/>
          </w:tcPr>
          <w:p w14:paraId="6449F473" w14:textId="5351919B" w:rsidR="00863914" w:rsidRPr="006B0D7E" w:rsidRDefault="006B0D7E" w:rsidP="0086391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Very short</w:t>
            </w:r>
            <w:r w:rsidR="004953D6">
              <w:rPr>
                <w:rFonts w:ascii="Arial Narrow" w:hAnsi="Arial Narrow"/>
              </w:rPr>
              <w:t xml:space="preserve"> (millisecond</w:t>
            </w:r>
            <w:r w:rsidR="00886034">
              <w:rPr>
                <w:rFonts w:ascii="Arial Narrow" w:hAnsi="Arial Narrow"/>
              </w:rPr>
              <w:t>, click of button</w:t>
            </w:r>
            <w:r w:rsidR="004953D6">
              <w:rPr>
                <w:rFonts w:ascii="Arial Narrow" w:hAnsi="Arial Narrow"/>
              </w:rPr>
              <w:t>)</w:t>
            </w:r>
          </w:p>
        </w:tc>
        <w:tc>
          <w:tcPr>
            <w:tcW w:w="3306" w:type="dxa"/>
            <w:vAlign w:val="center"/>
          </w:tcPr>
          <w:p w14:paraId="0433CAB4" w14:textId="7F76F6E1" w:rsidR="00863914" w:rsidRPr="006B0D7E" w:rsidRDefault="004953D6" w:rsidP="0086391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Months (</w:t>
            </w:r>
            <w:proofErr w:type="gramStart"/>
            <w:r>
              <w:rPr>
                <w:rFonts w:ascii="Arial Narrow" w:hAnsi="Arial Narrow"/>
              </w:rPr>
              <w:t>3-</w:t>
            </w:r>
            <w:r w:rsidR="005D5D28">
              <w:rPr>
                <w:rFonts w:ascii="Arial Narrow" w:hAnsi="Arial Narrow"/>
              </w:rPr>
              <w:t>12</w:t>
            </w:r>
            <w:r>
              <w:rPr>
                <w:rFonts w:ascii="Arial Narrow" w:hAnsi="Arial Narrow"/>
              </w:rPr>
              <w:t xml:space="preserve"> month</w:t>
            </w:r>
            <w:proofErr w:type="gramEnd"/>
            <w:r>
              <w:rPr>
                <w:rFonts w:ascii="Arial Narrow" w:hAnsi="Arial Narrow"/>
              </w:rPr>
              <w:t xml:space="preserve"> sale process)</w:t>
            </w:r>
          </w:p>
        </w:tc>
      </w:tr>
      <w:tr w:rsidR="00863914" w14:paraId="00066AF3" w14:textId="77777777" w:rsidTr="00423F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C133F01" w14:textId="29C830B1" w:rsidR="00863914" w:rsidRPr="006B0D7E" w:rsidRDefault="004953D6" w:rsidP="00863914">
            <w:pPr>
              <w:rPr>
                <w:rFonts w:ascii="Arial Narrow" w:hAnsi="Arial Narrow"/>
                <w:b w:val="0"/>
                <w:bCs w:val="0"/>
              </w:rPr>
            </w:pPr>
            <w:r>
              <w:rPr>
                <w:rFonts w:ascii="Arial Narrow" w:hAnsi="Arial Narrow"/>
                <w:b w:val="0"/>
                <w:bCs w:val="0"/>
              </w:rPr>
              <w:t>Control</w:t>
            </w:r>
          </w:p>
        </w:tc>
        <w:tc>
          <w:tcPr>
            <w:tcW w:w="3305" w:type="dxa"/>
            <w:vAlign w:val="center"/>
          </w:tcPr>
          <w:p w14:paraId="2964B9EB" w14:textId="7904C741" w:rsidR="00863914" w:rsidRPr="006B0D7E" w:rsidRDefault="004953D6" w:rsidP="0086391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Nil to low</w:t>
            </w:r>
          </w:p>
        </w:tc>
        <w:tc>
          <w:tcPr>
            <w:tcW w:w="3306" w:type="dxa"/>
            <w:vAlign w:val="center"/>
          </w:tcPr>
          <w:p w14:paraId="183D3AD3" w14:textId="117C070F" w:rsidR="00863914" w:rsidRPr="006B0D7E" w:rsidRDefault="004953D6" w:rsidP="0086391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High to complete</w:t>
            </w:r>
          </w:p>
        </w:tc>
      </w:tr>
      <w:tr w:rsidR="00863914" w14:paraId="41ADC3A1" w14:textId="77777777" w:rsidTr="00423F34">
        <w:trPr>
          <w:trHeight w:val="56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141ABE5" w14:textId="77861233" w:rsidR="00863914" w:rsidRPr="006B0D7E" w:rsidRDefault="00DD59DD" w:rsidP="00863914">
            <w:pPr>
              <w:rPr>
                <w:rFonts w:ascii="Arial Narrow" w:hAnsi="Arial Narrow"/>
                <w:b w:val="0"/>
                <w:bCs w:val="0"/>
              </w:rPr>
            </w:pPr>
            <w:r>
              <w:rPr>
                <w:rFonts w:ascii="Arial Narrow" w:hAnsi="Arial Narrow"/>
                <w:b w:val="0"/>
                <w:bCs w:val="0"/>
              </w:rPr>
              <w:t>M</w:t>
            </w:r>
            <w:r w:rsidR="00D73CB8">
              <w:rPr>
                <w:rFonts w:ascii="Arial Narrow" w:hAnsi="Arial Narrow"/>
                <w:b w:val="0"/>
                <w:bCs w:val="0"/>
              </w:rPr>
              <w:t>arket</w:t>
            </w:r>
            <w:r>
              <w:rPr>
                <w:rFonts w:ascii="Arial Narrow" w:hAnsi="Arial Narrow"/>
                <w:b w:val="0"/>
                <w:bCs w:val="0"/>
              </w:rPr>
              <w:t xml:space="preserve"> accessibility</w:t>
            </w:r>
          </w:p>
        </w:tc>
        <w:tc>
          <w:tcPr>
            <w:tcW w:w="3305" w:type="dxa"/>
            <w:vAlign w:val="center"/>
          </w:tcPr>
          <w:p w14:paraId="1F6C2BD7" w14:textId="58BE6F64" w:rsidR="00863914" w:rsidRPr="006B0D7E" w:rsidRDefault="00D73CB8" w:rsidP="0086391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Very accessible</w:t>
            </w:r>
            <w:r w:rsidR="00DD59DD">
              <w:rPr>
                <w:rFonts w:ascii="Arial Narrow" w:hAnsi="Arial Narrow"/>
              </w:rPr>
              <w:t xml:space="preserve"> for individuals</w:t>
            </w:r>
          </w:p>
        </w:tc>
        <w:tc>
          <w:tcPr>
            <w:tcW w:w="3306" w:type="dxa"/>
            <w:vAlign w:val="center"/>
          </w:tcPr>
          <w:p w14:paraId="13DA885B" w14:textId="09AC30BF" w:rsidR="00863914" w:rsidRPr="006B0D7E" w:rsidRDefault="00D73CB8" w:rsidP="0086391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Limited accessibility</w:t>
            </w:r>
            <w:r w:rsidR="00DD59DD">
              <w:rPr>
                <w:rFonts w:ascii="Arial Narrow" w:hAnsi="Arial Narrow"/>
              </w:rPr>
              <w:t xml:space="preserve"> for </w:t>
            </w:r>
            <w:r w:rsidR="00886034">
              <w:rPr>
                <w:rFonts w:ascii="Arial Narrow" w:hAnsi="Arial Narrow"/>
              </w:rPr>
              <w:t xml:space="preserve">most </w:t>
            </w:r>
            <w:r w:rsidR="00DD59DD">
              <w:rPr>
                <w:rFonts w:ascii="Arial Narrow" w:hAnsi="Arial Narrow"/>
              </w:rPr>
              <w:t>individuals</w:t>
            </w:r>
          </w:p>
        </w:tc>
      </w:tr>
      <w:tr w:rsidR="008B5FBF" w14:paraId="41C3C18D" w14:textId="77777777" w:rsidTr="00423F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7AB1016" w14:textId="2169134B" w:rsidR="008B5FBF" w:rsidRDefault="008B5FBF" w:rsidP="00863914">
            <w:pPr>
              <w:rPr>
                <w:rFonts w:ascii="Arial Narrow" w:hAnsi="Arial Narrow"/>
                <w:b w:val="0"/>
                <w:bCs w:val="0"/>
              </w:rPr>
            </w:pPr>
            <w:r>
              <w:rPr>
                <w:rFonts w:ascii="Arial Narrow" w:hAnsi="Arial Narrow"/>
                <w:b w:val="0"/>
                <w:bCs w:val="0"/>
              </w:rPr>
              <w:t>Market participant</w:t>
            </w:r>
          </w:p>
        </w:tc>
        <w:tc>
          <w:tcPr>
            <w:tcW w:w="3305" w:type="dxa"/>
            <w:vAlign w:val="center"/>
          </w:tcPr>
          <w:p w14:paraId="78951021" w14:textId="431EBFA8" w:rsidR="008B5FBF" w:rsidRDefault="00DD59DD" w:rsidP="0086391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Individual r</w:t>
            </w:r>
            <w:r w:rsidR="00423F34">
              <w:rPr>
                <w:rFonts w:ascii="Arial Narrow" w:hAnsi="Arial Narrow"/>
              </w:rPr>
              <w:t>etail investor</w:t>
            </w:r>
            <w:r w:rsidR="008B5FBF">
              <w:rPr>
                <w:rFonts w:ascii="Arial Narrow" w:hAnsi="Arial Narrow"/>
              </w:rPr>
              <w:t xml:space="preserve"> to </w:t>
            </w:r>
            <w:r>
              <w:rPr>
                <w:rFonts w:ascii="Arial Narrow" w:hAnsi="Arial Narrow"/>
              </w:rPr>
              <w:t>institutional capital</w:t>
            </w:r>
          </w:p>
        </w:tc>
        <w:tc>
          <w:tcPr>
            <w:tcW w:w="3306" w:type="dxa"/>
            <w:vAlign w:val="center"/>
          </w:tcPr>
          <w:p w14:paraId="0998B0D0" w14:textId="3F8A7D0D" w:rsidR="008B5FBF" w:rsidRDefault="00423F34" w:rsidP="0086391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Institutional or h</w:t>
            </w:r>
            <w:r w:rsidR="00D87E12">
              <w:rPr>
                <w:rFonts w:ascii="Arial Narrow" w:hAnsi="Arial Narrow"/>
              </w:rPr>
              <w:t>olders of significant capital</w:t>
            </w:r>
          </w:p>
        </w:tc>
      </w:tr>
      <w:tr w:rsidR="00DD59DD" w14:paraId="1FA5A9CC" w14:textId="77777777" w:rsidTr="00423F34">
        <w:trPr>
          <w:trHeight w:val="56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D345870" w14:textId="129462B6" w:rsidR="00DD59DD" w:rsidRDefault="00DD59DD" w:rsidP="00863914">
            <w:pPr>
              <w:rPr>
                <w:rFonts w:ascii="Arial Narrow" w:hAnsi="Arial Narrow"/>
                <w:b w:val="0"/>
                <w:bCs w:val="0"/>
              </w:rPr>
            </w:pPr>
            <w:r>
              <w:rPr>
                <w:rFonts w:ascii="Arial Narrow" w:hAnsi="Arial Narrow"/>
                <w:b w:val="0"/>
                <w:bCs w:val="0"/>
              </w:rPr>
              <w:t>Typical entry point</w:t>
            </w:r>
          </w:p>
        </w:tc>
        <w:tc>
          <w:tcPr>
            <w:tcW w:w="3305" w:type="dxa"/>
            <w:vAlign w:val="center"/>
          </w:tcPr>
          <w:p w14:paraId="5C31B054" w14:textId="20C35A75" w:rsidR="00DD59DD" w:rsidRDefault="00DD59DD" w:rsidP="0086391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Minimum trading parcel (say $500)</w:t>
            </w:r>
          </w:p>
        </w:tc>
        <w:tc>
          <w:tcPr>
            <w:tcW w:w="3306" w:type="dxa"/>
            <w:vAlign w:val="center"/>
          </w:tcPr>
          <w:p w14:paraId="7946793A" w14:textId="4856651A" w:rsidR="00DD59DD" w:rsidRDefault="00DD59DD" w:rsidP="0086391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Significant depending upon the asset (frequently upward of $10,000,000)</w:t>
            </w:r>
          </w:p>
        </w:tc>
      </w:tr>
      <w:tr w:rsidR="0046301A" w14:paraId="65E89C29" w14:textId="77777777" w:rsidTr="00423F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85F20D1" w14:textId="7CAC6832" w:rsidR="0046301A" w:rsidRDefault="0046301A" w:rsidP="00863914">
            <w:pPr>
              <w:rPr>
                <w:rFonts w:ascii="Arial Narrow" w:hAnsi="Arial Narrow"/>
                <w:b w:val="0"/>
                <w:bCs w:val="0"/>
              </w:rPr>
            </w:pPr>
            <w:r>
              <w:rPr>
                <w:rFonts w:ascii="Arial Narrow" w:hAnsi="Arial Narrow"/>
                <w:b w:val="0"/>
                <w:bCs w:val="0"/>
              </w:rPr>
              <w:t>Ability to leverage</w:t>
            </w:r>
          </w:p>
        </w:tc>
        <w:tc>
          <w:tcPr>
            <w:tcW w:w="3305" w:type="dxa"/>
            <w:vAlign w:val="center"/>
          </w:tcPr>
          <w:p w14:paraId="447A9FA2" w14:textId="2006EA85" w:rsidR="0046301A" w:rsidRDefault="0046301A" w:rsidP="0086391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Lower</w:t>
            </w:r>
          </w:p>
        </w:tc>
        <w:tc>
          <w:tcPr>
            <w:tcW w:w="3306" w:type="dxa"/>
            <w:vAlign w:val="center"/>
          </w:tcPr>
          <w:p w14:paraId="2F4ADC0D" w14:textId="2F2BDA6B" w:rsidR="0046301A" w:rsidRDefault="0046301A" w:rsidP="0086391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Higher</w:t>
            </w:r>
          </w:p>
        </w:tc>
      </w:tr>
      <w:tr w:rsidR="00863914" w14:paraId="572F30A3" w14:textId="77777777" w:rsidTr="00423F34">
        <w:trPr>
          <w:trHeight w:val="56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236D6A6" w14:textId="28361672" w:rsidR="00863914" w:rsidRPr="006B0D7E" w:rsidRDefault="000B5932" w:rsidP="00863914">
            <w:pPr>
              <w:rPr>
                <w:rFonts w:ascii="Arial Narrow" w:hAnsi="Arial Narrow"/>
                <w:b w:val="0"/>
                <w:bCs w:val="0"/>
              </w:rPr>
            </w:pPr>
            <w:r>
              <w:rPr>
                <w:rFonts w:ascii="Arial Narrow" w:hAnsi="Arial Narrow"/>
                <w:b w:val="0"/>
                <w:bCs w:val="0"/>
              </w:rPr>
              <w:lastRenderedPageBreak/>
              <w:t>Access to management</w:t>
            </w:r>
          </w:p>
        </w:tc>
        <w:tc>
          <w:tcPr>
            <w:tcW w:w="3305" w:type="dxa"/>
            <w:vAlign w:val="center"/>
          </w:tcPr>
          <w:p w14:paraId="4CD56C01" w14:textId="138688DC" w:rsidR="00863914" w:rsidRPr="006B0D7E" w:rsidRDefault="000B5932" w:rsidP="0086391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Low</w:t>
            </w:r>
          </w:p>
        </w:tc>
        <w:tc>
          <w:tcPr>
            <w:tcW w:w="3306" w:type="dxa"/>
            <w:vAlign w:val="center"/>
          </w:tcPr>
          <w:p w14:paraId="329D4A11" w14:textId="48AF4A0E" w:rsidR="00863914" w:rsidRPr="006B0D7E" w:rsidRDefault="000B5932" w:rsidP="0086391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High</w:t>
            </w:r>
          </w:p>
        </w:tc>
      </w:tr>
      <w:tr w:rsidR="00423F34" w14:paraId="09DF0C22" w14:textId="77777777" w:rsidTr="00423F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85B8F03" w14:textId="3FED80F0" w:rsidR="00423F34" w:rsidRDefault="00423F34" w:rsidP="00863914">
            <w:pPr>
              <w:rPr>
                <w:rFonts w:ascii="Arial Narrow" w:hAnsi="Arial Narrow"/>
                <w:b w:val="0"/>
                <w:bCs w:val="0"/>
              </w:rPr>
            </w:pPr>
            <w:r>
              <w:rPr>
                <w:rFonts w:ascii="Arial Narrow" w:hAnsi="Arial Narrow"/>
                <w:b w:val="0"/>
                <w:bCs w:val="0"/>
              </w:rPr>
              <w:t>Ability to diversify portfolio</w:t>
            </w:r>
          </w:p>
        </w:tc>
        <w:tc>
          <w:tcPr>
            <w:tcW w:w="3305" w:type="dxa"/>
            <w:vAlign w:val="center"/>
          </w:tcPr>
          <w:p w14:paraId="3B8A1CB7" w14:textId="75359F6E" w:rsidR="00423F34" w:rsidRDefault="00423F34" w:rsidP="0086391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Higher</w:t>
            </w:r>
          </w:p>
        </w:tc>
        <w:tc>
          <w:tcPr>
            <w:tcW w:w="3306" w:type="dxa"/>
            <w:vAlign w:val="center"/>
          </w:tcPr>
          <w:p w14:paraId="3C7C5BEB" w14:textId="79BD8DC3" w:rsidR="00423F34" w:rsidRDefault="00423F34" w:rsidP="0086391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Lower</w:t>
            </w:r>
          </w:p>
        </w:tc>
      </w:tr>
      <w:tr w:rsidR="0046301A" w14:paraId="22613AD7" w14:textId="77777777" w:rsidTr="00423F34">
        <w:trPr>
          <w:trHeight w:val="56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869BB79" w14:textId="2853928C" w:rsidR="00863914" w:rsidRPr="006B0D7E" w:rsidRDefault="000B5932" w:rsidP="00863914">
            <w:pPr>
              <w:rPr>
                <w:rFonts w:ascii="Arial Narrow" w:hAnsi="Arial Narrow"/>
                <w:b w:val="0"/>
                <w:bCs w:val="0"/>
              </w:rPr>
            </w:pPr>
            <w:r>
              <w:rPr>
                <w:rFonts w:ascii="Arial Narrow" w:hAnsi="Arial Narrow"/>
                <w:b w:val="0"/>
                <w:bCs w:val="0"/>
              </w:rPr>
              <w:t xml:space="preserve">Potential for </w:t>
            </w:r>
            <w:r w:rsidR="00423F34">
              <w:rPr>
                <w:rFonts w:ascii="Arial Narrow" w:hAnsi="Arial Narrow"/>
                <w:b w:val="0"/>
                <w:bCs w:val="0"/>
              </w:rPr>
              <w:t xml:space="preserve">equity </w:t>
            </w:r>
            <w:r>
              <w:rPr>
                <w:rFonts w:ascii="Arial Narrow" w:hAnsi="Arial Narrow"/>
                <w:b w:val="0"/>
                <w:bCs w:val="0"/>
              </w:rPr>
              <w:t>dilution</w:t>
            </w:r>
          </w:p>
        </w:tc>
        <w:tc>
          <w:tcPr>
            <w:tcW w:w="3305" w:type="dxa"/>
            <w:vAlign w:val="center"/>
          </w:tcPr>
          <w:p w14:paraId="1B49FE21" w14:textId="45E40F9D" w:rsidR="00863914" w:rsidRPr="006B0D7E" w:rsidRDefault="000B5932" w:rsidP="0086391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High</w:t>
            </w:r>
            <w:r w:rsidR="00423F34">
              <w:rPr>
                <w:rFonts w:ascii="Arial Narrow" w:hAnsi="Arial Narrow"/>
              </w:rPr>
              <w:t>er</w:t>
            </w:r>
          </w:p>
        </w:tc>
        <w:tc>
          <w:tcPr>
            <w:tcW w:w="3306" w:type="dxa"/>
            <w:vAlign w:val="center"/>
          </w:tcPr>
          <w:p w14:paraId="00A7046B" w14:textId="34915817" w:rsidR="00863914" w:rsidRPr="006B0D7E" w:rsidRDefault="000B5932" w:rsidP="0086391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Low</w:t>
            </w:r>
            <w:r w:rsidR="00423F34">
              <w:rPr>
                <w:rFonts w:ascii="Arial Narrow" w:hAnsi="Arial Narrow"/>
              </w:rPr>
              <w:t>er</w:t>
            </w:r>
            <w:r>
              <w:rPr>
                <w:rFonts w:ascii="Arial Narrow" w:hAnsi="Arial Narrow"/>
              </w:rPr>
              <w:t xml:space="preserve"> to n</w:t>
            </w:r>
            <w:r w:rsidR="0046301A">
              <w:rPr>
                <w:rFonts w:ascii="Arial Narrow" w:hAnsi="Arial Narrow"/>
              </w:rPr>
              <w:t>il</w:t>
            </w:r>
          </w:p>
        </w:tc>
      </w:tr>
      <w:tr w:rsidR="0046301A" w14:paraId="62B226A8" w14:textId="77777777" w:rsidTr="00423F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4A93FA6" w14:textId="3E084429" w:rsidR="0046301A" w:rsidRDefault="0046301A" w:rsidP="00863914">
            <w:pPr>
              <w:rPr>
                <w:rFonts w:ascii="Arial Narrow" w:hAnsi="Arial Narrow"/>
                <w:b w:val="0"/>
                <w:bCs w:val="0"/>
              </w:rPr>
            </w:pPr>
            <w:r>
              <w:rPr>
                <w:rFonts w:ascii="Arial Narrow" w:hAnsi="Arial Narrow"/>
                <w:b w:val="0"/>
                <w:bCs w:val="0"/>
              </w:rPr>
              <w:t>Corporate &amp; regulatory overheads</w:t>
            </w:r>
          </w:p>
        </w:tc>
        <w:tc>
          <w:tcPr>
            <w:tcW w:w="3305" w:type="dxa"/>
            <w:vAlign w:val="center"/>
          </w:tcPr>
          <w:p w14:paraId="1BFBC190" w14:textId="47378AD0" w:rsidR="0046301A" w:rsidRDefault="0046301A" w:rsidP="0086391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Higher (exchange/listing, reporting, transparency requirements, etc)</w:t>
            </w:r>
          </w:p>
        </w:tc>
        <w:tc>
          <w:tcPr>
            <w:tcW w:w="3306" w:type="dxa"/>
            <w:vAlign w:val="center"/>
          </w:tcPr>
          <w:p w14:paraId="243D6756" w14:textId="358F9224" w:rsidR="0046301A" w:rsidRDefault="0046301A" w:rsidP="0086391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Lower</w:t>
            </w:r>
          </w:p>
        </w:tc>
      </w:tr>
      <w:tr w:rsidR="000A2061" w14:paraId="4C7A3991" w14:textId="77777777" w:rsidTr="00423F34">
        <w:trPr>
          <w:trHeight w:val="56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D302564" w14:textId="646869FA" w:rsidR="000A2061" w:rsidRPr="000027F4" w:rsidRDefault="000A2061" w:rsidP="00863914">
            <w:pPr>
              <w:rPr>
                <w:rFonts w:ascii="Arial Narrow" w:hAnsi="Arial Narrow"/>
                <w:b w:val="0"/>
                <w:bCs w:val="0"/>
              </w:rPr>
            </w:pPr>
            <w:r w:rsidRPr="000027F4">
              <w:rPr>
                <w:rFonts w:ascii="Arial Narrow" w:hAnsi="Arial Narrow"/>
                <w:b w:val="0"/>
                <w:bCs w:val="0"/>
              </w:rPr>
              <w:t>Valuation method</w:t>
            </w:r>
          </w:p>
        </w:tc>
        <w:tc>
          <w:tcPr>
            <w:tcW w:w="3305" w:type="dxa"/>
            <w:vAlign w:val="center"/>
          </w:tcPr>
          <w:p w14:paraId="5B171EC8" w14:textId="19FB5FE8" w:rsidR="000A2061" w:rsidRDefault="00202FD6" w:rsidP="0086391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Aggregated portfolio, assumptions</w:t>
            </w:r>
            <w:r w:rsidR="00345CF3">
              <w:rPr>
                <w:rFonts w:ascii="Arial Narrow" w:hAnsi="Arial Narrow"/>
              </w:rPr>
              <w:t xml:space="preserve"> that may be removed from the underlying assets</w:t>
            </w:r>
            <w:r>
              <w:rPr>
                <w:rFonts w:ascii="Arial Narrow" w:hAnsi="Arial Narrow"/>
              </w:rPr>
              <w:t>, no inspection</w:t>
            </w:r>
          </w:p>
        </w:tc>
        <w:tc>
          <w:tcPr>
            <w:tcW w:w="3306" w:type="dxa"/>
            <w:vAlign w:val="center"/>
          </w:tcPr>
          <w:p w14:paraId="2104B400" w14:textId="52D1659F" w:rsidR="000A2061" w:rsidRDefault="00202FD6" w:rsidP="0086391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Valued individually, </w:t>
            </w:r>
            <w:r w:rsidR="005B4866">
              <w:rPr>
                <w:rFonts w:ascii="Arial Narrow" w:hAnsi="Arial Narrow"/>
              </w:rPr>
              <w:t>assumptions tied to lease terms</w:t>
            </w:r>
            <w:r w:rsidR="00345CF3">
              <w:rPr>
                <w:rFonts w:ascii="Arial Narrow" w:hAnsi="Arial Narrow"/>
              </w:rPr>
              <w:t xml:space="preserve"> of individual assets</w:t>
            </w:r>
            <w:r w:rsidR="005B4866">
              <w:rPr>
                <w:rFonts w:ascii="Arial Narrow" w:hAnsi="Arial Narrow"/>
              </w:rPr>
              <w:t>, inspection</w:t>
            </w:r>
          </w:p>
        </w:tc>
      </w:tr>
    </w:tbl>
    <w:p w14:paraId="792C833E" w14:textId="4FBC3DE7" w:rsidR="00863914" w:rsidRDefault="00863914" w:rsidP="00863914">
      <w:pPr>
        <w:rPr>
          <w:rFonts w:ascii="Arial Narrow" w:hAnsi="Arial Narrow"/>
        </w:rPr>
      </w:pPr>
    </w:p>
    <w:p w14:paraId="039F99A5" w14:textId="0912D084" w:rsidR="00FC4A52" w:rsidRDefault="00FC4A52" w:rsidP="00FC4A52">
      <w:pPr>
        <w:pStyle w:val="a3"/>
        <w:numPr>
          <w:ilvl w:val="0"/>
          <w:numId w:val="6"/>
        </w:numPr>
        <w:rPr>
          <w:rFonts w:ascii="Arial Narrow" w:hAnsi="Arial Narrow"/>
        </w:rPr>
      </w:pPr>
      <w:r>
        <w:rPr>
          <w:rFonts w:ascii="Arial Narrow" w:hAnsi="Arial Narrow"/>
        </w:rPr>
        <w:t xml:space="preserve">This can often create a volatile </w:t>
      </w:r>
      <w:r w:rsidR="00F45FA3">
        <w:rPr>
          <w:rFonts w:ascii="Arial Narrow" w:hAnsi="Arial Narrow"/>
        </w:rPr>
        <w:t>atmosphere</w:t>
      </w:r>
      <w:r>
        <w:rPr>
          <w:rFonts w:ascii="Arial Narrow" w:hAnsi="Arial Narrow"/>
        </w:rPr>
        <w:t xml:space="preserve"> in a listed environment as the liquidity afforded can result in a </w:t>
      </w:r>
      <w:r w:rsidR="00D47CF4">
        <w:rPr>
          <w:rFonts w:ascii="Arial Narrow" w:hAnsi="Arial Narrow"/>
        </w:rPr>
        <w:t>range</w:t>
      </w:r>
      <w:r>
        <w:rPr>
          <w:rFonts w:ascii="Arial Narrow" w:hAnsi="Arial Narrow"/>
        </w:rPr>
        <w:t xml:space="preserve"> of irrational behaviour.  The</w:t>
      </w:r>
      <w:r w:rsidR="00F45FA3">
        <w:rPr>
          <w:rFonts w:ascii="Arial Narrow" w:hAnsi="Arial Narrow"/>
        </w:rPr>
        <w:t xml:space="preserve"> psychology of the investor is on display with</w:t>
      </w:r>
      <w:r>
        <w:rPr>
          <w:rFonts w:ascii="Arial Narrow" w:hAnsi="Arial Narrow"/>
        </w:rPr>
        <w:t xml:space="preserve"> panic or exuberance buttons </w:t>
      </w:r>
      <w:r w:rsidR="00F45FA3">
        <w:rPr>
          <w:rFonts w:ascii="Arial Narrow" w:hAnsi="Arial Narrow"/>
        </w:rPr>
        <w:t>being</w:t>
      </w:r>
      <w:r>
        <w:rPr>
          <w:rFonts w:ascii="Arial Narrow" w:hAnsi="Arial Narrow"/>
        </w:rPr>
        <w:t xml:space="preserve"> hit in bad time</w:t>
      </w:r>
      <w:r w:rsidR="00F45FA3">
        <w:rPr>
          <w:rFonts w:ascii="Arial Narrow" w:hAnsi="Arial Narrow"/>
        </w:rPr>
        <w:t>s</w:t>
      </w:r>
      <w:r>
        <w:rPr>
          <w:rFonts w:ascii="Arial Narrow" w:hAnsi="Arial Narrow"/>
        </w:rPr>
        <w:t xml:space="preserve"> or good, and assets traded within seconds</w:t>
      </w:r>
      <w:r w:rsidR="00F45FA3">
        <w:rPr>
          <w:rFonts w:ascii="Arial Narrow" w:hAnsi="Arial Narrow"/>
        </w:rPr>
        <w:t xml:space="preserve"> often with little time to check the rationality of the decision making</w:t>
      </w:r>
      <w:r>
        <w:rPr>
          <w:rFonts w:ascii="Arial Narrow" w:hAnsi="Arial Narrow"/>
        </w:rPr>
        <w:t>.</w:t>
      </w:r>
    </w:p>
    <w:p w14:paraId="5AB27EA5" w14:textId="6FC33CCB" w:rsidR="00FC4A52" w:rsidRDefault="00FC4A52" w:rsidP="00FC4A52">
      <w:pPr>
        <w:pStyle w:val="a3"/>
        <w:numPr>
          <w:ilvl w:val="0"/>
          <w:numId w:val="6"/>
        </w:numPr>
        <w:rPr>
          <w:rFonts w:ascii="Arial Narrow" w:hAnsi="Arial Narrow"/>
        </w:rPr>
      </w:pPr>
      <w:r>
        <w:rPr>
          <w:rFonts w:ascii="Arial Narrow" w:hAnsi="Arial Narrow"/>
        </w:rPr>
        <w:t>To counter this sentiment, the holder of what has historically been regarded as an illiquid asset class</w:t>
      </w:r>
      <w:r w:rsidR="00886034">
        <w:rPr>
          <w:rFonts w:ascii="Arial Narrow" w:hAnsi="Arial Narrow"/>
        </w:rPr>
        <w:t>, assets in an unlisted environment are far more removed from the trappings that plague buying and selling in a listed environment.  When making a sale or purchase decision, the divestment or due diligence process is far more prolonged, allowing buyers and sellers to check the rationality of their decision making in a more prudent way.</w:t>
      </w:r>
    </w:p>
    <w:p w14:paraId="6FF5F36F" w14:textId="3CAAEB55" w:rsidR="00886034" w:rsidRPr="005547A7" w:rsidRDefault="00456CCB" w:rsidP="00863914">
      <w:pPr>
        <w:pStyle w:val="a3"/>
        <w:numPr>
          <w:ilvl w:val="0"/>
          <w:numId w:val="6"/>
        </w:numPr>
        <w:rPr>
          <w:rFonts w:ascii="Arial Narrow" w:hAnsi="Arial Narrow"/>
        </w:rPr>
      </w:pPr>
      <w:r>
        <w:rPr>
          <w:rFonts w:ascii="Arial Narrow" w:hAnsi="Arial Narrow"/>
        </w:rPr>
        <w:t xml:space="preserve">It could be argued that </w:t>
      </w:r>
      <w:r w:rsidR="00020C39">
        <w:rPr>
          <w:rFonts w:ascii="Arial Narrow" w:hAnsi="Arial Narrow"/>
        </w:rPr>
        <w:t>in an unlisted environment, when considering the portfolio on an</w:t>
      </w:r>
      <w:r w:rsidR="00674353">
        <w:rPr>
          <w:rFonts w:ascii="Arial Narrow" w:hAnsi="Arial Narrow"/>
        </w:rPr>
        <w:t xml:space="preserve"> asset-by-asset basis, there is a greater appreciation for the underlying of each of the individual assets within that portfolio</w:t>
      </w:r>
      <w:r w:rsidR="00BA56AF">
        <w:rPr>
          <w:rFonts w:ascii="Arial Narrow" w:hAnsi="Arial Narrow"/>
        </w:rPr>
        <w:t xml:space="preserve"> which is glazed over when trading in the listed environment.</w:t>
      </w:r>
      <w:r w:rsidR="00801DA4">
        <w:rPr>
          <w:rFonts w:ascii="Arial Narrow" w:hAnsi="Arial Narrow"/>
        </w:rPr>
        <w:t xml:space="preserve">  This is exactly why the governance of many listed assets undertake valuations </w:t>
      </w:r>
      <w:r w:rsidR="00585F00">
        <w:rPr>
          <w:rFonts w:ascii="Arial Narrow" w:hAnsi="Arial Narrow"/>
        </w:rPr>
        <w:t xml:space="preserve">of their underlying asset portfolio </w:t>
      </w:r>
      <w:r w:rsidR="00801DA4">
        <w:rPr>
          <w:rFonts w:ascii="Arial Narrow" w:hAnsi="Arial Narrow"/>
        </w:rPr>
        <w:t>on an intermittent basis</w:t>
      </w:r>
      <w:r w:rsidR="00585F00">
        <w:rPr>
          <w:rFonts w:ascii="Arial Narrow" w:hAnsi="Arial Narrow"/>
        </w:rPr>
        <w:t xml:space="preserve"> to show the underlying net asset value of their assets relative to the </w:t>
      </w:r>
      <w:r w:rsidR="00B07DAE">
        <w:rPr>
          <w:rFonts w:ascii="Arial Narrow" w:hAnsi="Arial Narrow"/>
        </w:rPr>
        <w:t xml:space="preserve">exchange traded </w:t>
      </w:r>
      <w:r w:rsidR="00585F00">
        <w:rPr>
          <w:rFonts w:ascii="Arial Narrow" w:hAnsi="Arial Narrow"/>
        </w:rPr>
        <w:t>share price.</w:t>
      </w:r>
      <w:r w:rsidR="00B07DAE">
        <w:rPr>
          <w:rFonts w:ascii="Arial Narrow" w:hAnsi="Arial Narrow"/>
        </w:rPr>
        <w:t xml:space="preserve">  In absence of this cross-check, many investors would be </w:t>
      </w:r>
      <w:r w:rsidR="00AF15CB">
        <w:rPr>
          <w:rFonts w:ascii="Arial Narrow" w:hAnsi="Arial Narrow"/>
        </w:rPr>
        <w:t>“flying blind” and would have far less appreciation of the asset portfolio that underpins the listed price.</w:t>
      </w:r>
    </w:p>
    <w:p w14:paraId="6B7CBD73" w14:textId="345798F2" w:rsidR="00E921BB" w:rsidRDefault="00E921BB" w:rsidP="003C7490">
      <w:pPr>
        <w:pStyle w:val="1"/>
        <w:numPr>
          <w:ilvl w:val="0"/>
          <w:numId w:val="7"/>
        </w:numPr>
        <w:rPr>
          <w:rFonts w:ascii="Arial Narrow" w:hAnsi="Arial Narrow"/>
          <w:b/>
          <w:bCs/>
          <w:color w:val="000000" w:themeColor="text1"/>
          <w:sz w:val="22"/>
          <w:szCs w:val="22"/>
        </w:rPr>
      </w:pPr>
      <w:bookmarkStart w:id="4" w:name="_Toc134193123"/>
      <w:r w:rsidRPr="0026757D">
        <w:rPr>
          <w:rFonts w:ascii="Arial Narrow" w:hAnsi="Arial Narrow"/>
          <w:b/>
          <w:bCs/>
          <w:color w:val="000000" w:themeColor="text1"/>
          <w:sz w:val="22"/>
          <w:szCs w:val="22"/>
        </w:rPr>
        <w:t xml:space="preserve">Criticism of the valuations that underpin </w:t>
      </w:r>
      <w:proofErr w:type="gramStart"/>
      <w:r w:rsidRPr="0026757D">
        <w:rPr>
          <w:rFonts w:ascii="Arial Narrow" w:hAnsi="Arial Narrow"/>
          <w:b/>
          <w:bCs/>
          <w:color w:val="000000" w:themeColor="text1"/>
          <w:sz w:val="22"/>
          <w:szCs w:val="22"/>
        </w:rPr>
        <w:t>NAV’s</w:t>
      </w:r>
      <w:bookmarkEnd w:id="4"/>
      <w:proofErr w:type="gramEnd"/>
    </w:p>
    <w:p w14:paraId="18C0F735" w14:textId="77777777" w:rsidR="0026757D" w:rsidRPr="0026757D" w:rsidRDefault="0026757D" w:rsidP="0026757D"/>
    <w:p w14:paraId="709A4C3D" w14:textId="0F147203" w:rsidR="00E921BB" w:rsidRDefault="00423F34" w:rsidP="00E921BB">
      <w:pPr>
        <w:pStyle w:val="a3"/>
        <w:numPr>
          <w:ilvl w:val="0"/>
          <w:numId w:val="3"/>
        </w:numPr>
        <w:rPr>
          <w:rFonts w:ascii="Arial Narrow" w:hAnsi="Arial Narrow"/>
        </w:rPr>
      </w:pPr>
      <w:r>
        <w:rPr>
          <w:rFonts w:ascii="Arial Narrow" w:hAnsi="Arial Narrow"/>
        </w:rPr>
        <w:t>Questions asked during v</w:t>
      </w:r>
      <w:r w:rsidR="00E921BB">
        <w:rPr>
          <w:rFonts w:ascii="Arial Narrow" w:hAnsi="Arial Narrow"/>
        </w:rPr>
        <w:t>olatile times</w:t>
      </w:r>
      <w:r>
        <w:rPr>
          <w:rFonts w:ascii="Arial Narrow" w:hAnsi="Arial Narrow"/>
        </w:rPr>
        <w:t xml:space="preserve">: </w:t>
      </w:r>
      <w:r w:rsidR="00E921BB">
        <w:rPr>
          <w:rFonts w:ascii="Arial Narrow" w:hAnsi="Arial Narrow"/>
        </w:rPr>
        <w:t>valuers are frequently querie</w:t>
      </w:r>
      <w:r>
        <w:rPr>
          <w:rFonts w:ascii="Arial Narrow" w:hAnsi="Arial Narrow"/>
        </w:rPr>
        <w:t>d</w:t>
      </w:r>
      <w:r w:rsidR="00E921BB">
        <w:rPr>
          <w:rFonts w:ascii="Arial Narrow" w:hAnsi="Arial Narrow"/>
        </w:rPr>
        <w:t xml:space="preserve"> during good times and bad</w:t>
      </w:r>
      <w:r>
        <w:rPr>
          <w:rFonts w:ascii="Arial Narrow" w:hAnsi="Arial Narrow"/>
        </w:rPr>
        <w:t xml:space="preserve">, “why are my valuations so low when my share price is </w:t>
      </w:r>
      <w:r w:rsidR="00F12E5B">
        <w:rPr>
          <w:rFonts w:ascii="Arial Narrow" w:hAnsi="Arial Narrow"/>
        </w:rPr>
        <w:t>so high</w:t>
      </w:r>
      <w:r>
        <w:rPr>
          <w:rFonts w:ascii="Arial Narrow" w:hAnsi="Arial Narrow"/>
        </w:rPr>
        <w:t>?” or “why are my valuations so high when my share price is through the floor?”</w:t>
      </w:r>
    </w:p>
    <w:p w14:paraId="518A002A" w14:textId="1703FDCC" w:rsidR="00E921BB" w:rsidRDefault="00423F34" w:rsidP="00E921BB">
      <w:pPr>
        <w:pStyle w:val="a3"/>
        <w:numPr>
          <w:ilvl w:val="0"/>
          <w:numId w:val="3"/>
        </w:numPr>
        <w:rPr>
          <w:rFonts w:ascii="Arial Narrow" w:hAnsi="Arial Narrow"/>
        </w:rPr>
      </w:pPr>
      <w:r>
        <w:rPr>
          <w:rFonts w:ascii="Arial Narrow" w:hAnsi="Arial Narrow"/>
        </w:rPr>
        <w:t>Common criticism</w:t>
      </w:r>
      <w:r w:rsidR="00F12E5B">
        <w:rPr>
          <w:rFonts w:ascii="Arial Narrow" w:hAnsi="Arial Narrow"/>
        </w:rPr>
        <w:t xml:space="preserve"> of valuers</w:t>
      </w:r>
      <w:r>
        <w:rPr>
          <w:rFonts w:ascii="Arial Narrow" w:hAnsi="Arial Narrow"/>
        </w:rPr>
        <w:t xml:space="preserve">: </w:t>
      </w:r>
      <w:r w:rsidR="00E921BB">
        <w:rPr>
          <w:rFonts w:ascii="Arial Narrow" w:hAnsi="Arial Narrow"/>
        </w:rPr>
        <w:t>Backward looking</w:t>
      </w:r>
      <w:r w:rsidR="000B5932">
        <w:rPr>
          <w:rFonts w:ascii="Arial Narrow" w:hAnsi="Arial Narrow"/>
        </w:rPr>
        <w:t xml:space="preserve">, </w:t>
      </w:r>
      <w:r w:rsidR="00CB0FAB">
        <w:rPr>
          <w:rFonts w:ascii="Arial Narrow" w:hAnsi="Arial Narrow"/>
        </w:rPr>
        <w:t xml:space="preserve">results in a </w:t>
      </w:r>
      <w:r w:rsidR="000B5932">
        <w:rPr>
          <w:rFonts w:ascii="Arial Narrow" w:hAnsi="Arial Narrow"/>
        </w:rPr>
        <w:t>‘</w:t>
      </w:r>
      <w:commentRangeStart w:id="5"/>
      <w:r w:rsidR="000B5932">
        <w:rPr>
          <w:rFonts w:ascii="Arial Narrow" w:hAnsi="Arial Narrow"/>
        </w:rPr>
        <w:t xml:space="preserve">smoothing’ </w:t>
      </w:r>
      <w:commentRangeEnd w:id="5"/>
      <w:r w:rsidR="00A64EE8">
        <w:rPr>
          <w:rStyle w:val="ac"/>
        </w:rPr>
        <w:commentReference w:id="5"/>
      </w:r>
      <w:r w:rsidR="000B5932">
        <w:rPr>
          <w:rFonts w:ascii="Arial Narrow" w:hAnsi="Arial Narrow"/>
        </w:rPr>
        <w:t>effect</w:t>
      </w:r>
      <w:r w:rsidR="00CB0FAB">
        <w:rPr>
          <w:rFonts w:ascii="Arial Narrow" w:hAnsi="Arial Narrow"/>
        </w:rPr>
        <w:t xml:space="preserve"> relative to that displayed in the </w:t>
      </w:r>
      <w:r>
        <w:rPr>
          <w:rFonts w:ascii="Arial Narrow" w:hAnsi="Arial Narrow"/>
        </w:rPr>
        <w:t xml:space="preserve">listed </w:t>
      </w:r>
      <w:r w:rsidR="00CB0FAB">
        <w:rPr>
          <w:rFonts w:ascii="Arial Narrow" w:hAnsi="Arial Narrow"/>
        </w:rPr>
        <w:t>markets</w:t>
      </w:r>
      <w:r>
        <w:rPr>
          <w:rFonts w:ascii="Arial Narrow" w:hAnsi="Arial Narrow"/>
        </w:rPr>
        <w:t>.</w:t>
      </w:r>
    </w:p>
    <w:p w14:paraId="210F98D9" w14:textId="2F64112A" w:rsidR="00886034" w:rsidRPr="005547A7" w:rsidRDefault="00423F34" w:rsidP="0031459B">
      <w:pPr>
        <w:pStyle w:val="a3"/>
        <w:numPr>
          <w:ilvl w:val="0"/>
          <w:numId w:val="3"/>
        </w:numPr>
        <w:rPr>
          <w:rFonts w:ascii="Arial Narrow" w:hAnsi="Arial Narrow"/>
        </w:rPr>
      </w:pPr>
      <w:r>
        <w:rPr>
          <w:rFonts w:ascii="Arial Narrow" w:hAnsi="Arial Narrow"/>
        </w:rPr>
        <w:t>Common criticism</w:t>
      </w:r>
      <w:r w:rsidR="00CB5475">
        <w:rPr>
          <w:rFonts w:ascii="Arial Narrow" w:hAnsi="Arial Narrow"/>
        </w:rPr>
        <w:t xml:space="preserve"> of valuations</w:t>
      </w:r>
      <w:r>
        <w:rPr>
          <w:rFonts w:ascii="Arial Narrow" w:hAnsi="Arial Narrow"/>
        </w:rPr>
        <w:t xml:space="preserve">: The lack of transactions results in a delay in value movement until markets become more active.  </w:t>
      </w:r>
      <w:r w:rsidR="00886034">
        <w:rPr>
          <w:rFonts w:ascii="Arial Narrow" w:hAnsi="Arial Narrow"/>
        </w:rPr>
        <w:t>Can valuers</w:t>
      </w:r>
      <w:r>
        <w:rPr>
          <w:rFonts w:ascii="Arial Narrow" w:hAnsi="Arial Narrow"/>
        </w:rPr>
        <w:t xml:space="preserve"> start placing less reliance on transactions and earnings multiples and start reflecting value more</w:t>
      </w:r>
      <w:r w:rsidR="000C1AE5">
        <w:rPr>
          <w:rFonts w:ascii="Arial Narrow" w:hAnsi="Arial Narrow"/>
        </w:rPr>
        <w:t xml:space="preserve"> nimbly</w:t>
      </w:r>
      <w:r>
        <w:rPr>
          <w:rFonts w:ascii="Arial Narrow" w:hAnsi="Arial Narrow"/>
        </w:rPr>
        <w:t xml:space="preserve"> in a forward-looking DCF context which captures elements like</w:t>
      </w:r>
      <w:r w:rsidR="000C1AE5">
        <w:rPr>
          <w:rFonts w:ascii="Arial Narrow" w:hAnsi="Arial Narrow"/>
        </w:rPr>
        <w:t xml:space="preserve"> forecast cash-flows and cost of capital</w:t>
      </w:r>
      <w:r>
        <w:rPr>
          <w:rFonts w:ascii="Arial Narrow" w:hAnsi="Arial Narrow"/>
        </w:rPr>
        <w:t>?</w:t>
      </w:r>
    </w:p>
    <w:p w14:paraId="2C713004" w14:textId="421210DF" w:rsidR="0031459B" w:rsidRDefault="0031459B" w:rsidP="003C7490">
      <w:pPr>
        <w:pStyle w:val="1"/>
        <w:numPr>
          <w:ilvl w:val="0"/>
          <w:numId w:val="7"/>
        </w:numPr>
        <w:rPr>
          <w:rFonts w:ascii="Arial Narrow" w:hAnsi="Arial Narrow"/>
          <w:b/>
          <w:bCs/>
          <w:color w:val="000000" w:themeColor="text1"/>
          <w:sz w:val="22"/>
          <w:szCs w:val="22"/>
        </w:rPr>
      </w:pPr>
      <w:bookmarkStart w:id="6" w:name="_Toc134193124"/>
      <w:r w:rsidRPr="0026757D">
        <w:rPr>
          <w:rFonts w:ascii="Arial Narrow" w:hAnsi="Arial Narrow"/>
          <w:b/>
          <w:bCs/>
          <w:color w:val="000000" w:themeColor="text1"/>
          <w:sz w:val="22"/>
          <w:szCs w:val="22"/>
        </w:rPr>
        <w:t>Do listed markets always get it right?</w:t>
      </w:r>
      <w:bookmarkEnd w:id="6"/>
    </w:p>
    <w:p w14:paraId="31FFAD8B" w14:textId="77777777" w:rsidR="0026757D" w:rsidRPr="0026757D" w:rsidRDefault="0026757D" w:rsidP="0026757D"/>
    <w:p w14:paraId="30B25B93" w14:textId="2BC7E14F" w:rsidR="0031459B" w:rsidRPr="000C1AE5" w:rsidRDefault="000C1AE5" w:rsidP="000C1AE5">
      <w:pPr>
        <w:pStyle w:val="a3"/>
        <w:numPr>
          <w:ilvl w:val="0"/>
          <w:numId w:val="3"/>
        </w:numPr>
        <w:rPr>
          <w:rFonts w:ascii="Arial Narrow" w:hAnsi="Arial Narrow"/>
        </w:rPr>
      </w:pPr>
      <w:r>
        <w:rPr>
          <w:rFonts w:ascii="Arial Narrow" w:hAnsi="Arial Narrow"/>
        </w:rPr>
        <w:t xml:space="preserve">Listed markets don’t always get it right: </w:t>
      </w:r>
      <w:r w:rsidR="0031459B">
        <w:rPr>
          <w:rFonts w:ascii="Arial Narrow" w:hAnsi="Arial Narrow"/>
        </w:rPr>
        <w:t>Exuberance</w:t>
      </w:r>
      <w:r w:rsidR="000B5932">
        <w:rPr>
          <w:rFonts w:ascii="Arial Narrow" w:hAnsi="Arial Narrow"/>
        </w:rPr>
        <w:t xml:space="preserve">, </w:t>
      </w:r>
      <w:r w:rsidR="0031459B">
        <w:rPr>
          <w:rFonts w:ascii="Arial Narrow" w:hAnsi="Arial Narrow"/>
        </w:rPr>
        <w:t>irrationality</w:t>
      </w:r>
      <w:r w:rsidR="00A02446">
        <w:rPr>
          <w:rFonts w:ascii="Arial Narrow" w:hAnsi="Arial Narrow"/>
        </w:rPr>
        <w:t xml:space="preserve">, </w:t>
      </w:r>
      <w:proofErr w:type="gramStart"/>
      <w:r w:rsidR="00A02446">
        <w:rPr>
          <w:rFonts w:ascii="Arial Narrow" w:hAnsi="Arial Narrow"/>
        </w:rPr>
        <w:t>distress</w:t>
      </w:r>
      <w:proofErr w:type="gramEnd"/>
      <w:r w:rsidR="000B5932">
        <w:rPr>
          <w:rFonts w:ascii="Arial Narrow" w:hAnsi="Arial Narrow"/>
        </w:rPr>
        <w:t xml:space="preserve"> and psychology</w:t>
      </w:r>
      <w:r w:rsidR="0031459B">
        <w:rPr>
          <w:rFonts w:ascii="Arial Narrow" w:hAnsi="Arial Narrow"/>
        </w:rPr>
        <w:t xml:space="preserve"> </w:t>
      </w:r>
      <w:r w:rsidR="000B5932">
        <w:rPr>
          <w:rFonts w:ascii="Arial Narrow" w:hAnsi="Arial Narrow"/>
        </w:rPr>
        <w:t>of</w:t>
      </w:r>
      <w:r w:rsidR="0031459B">
        <w:rPr>
          <w:rFonts w:ascii="Arial Narrow" w:hAnsi="Arial Narrow"/>
        </w:rPr>
        <w:t xml:space="preserve"> listed markets</w:t>
      </w:r>
      <w:r>
        <w:rPr>
          <w:rFonts w:ascii="Arial Narrow" w:hAnsi="Arial Narrow"/>
        </w:rPr>
        <w:t xml:space="preserve"> can often be </w:t>
      </w:r>
      <w:r w:rsidR="00A02446">
        <w:rPr>
          <w:rFonts w:ascii="Arial Narrow" w:hAnsi="Arial Narrow"/>
        </w:rPr>
        <w:t>exacerbated in the pricing displayed in listed markets because of such high liquidity</w:t>
      </w:r>
      <w:r w:rsidR="00886034">
        <w:rPr>
          <w:rFonts w:ascii="Arial Narrow" w:hAnsi="Arial Narrow"/>
        </w:rPr>
        <w:t xml:space="preserve"> these trading instruments are afforded</w:t>
      </w:r>
      <w:r>
        <w:rPr>
          <w:rFonts w:ascii="Arial Narrow" w:hAnsi="Arial Narrow"/>
        </w:rPr>
        <w:t>.</w:t>
      </w:r>
    </w:p>
    <w:p w14:paraId="51DC95C9" w14:textId="63ECDEAD" w:rsidR="00E921BB" w:rsidRDefault="000C1AE5" w:rsidP="0031459B">
      <w:pPr>
        <w:pStyle w:val="a3"/>
        <w:numPr>
          <w:ilvl w:val="0"/>
          <w:numId w:val="3"/>
        </w:numPr>
        <w:rPr>
          <w:rFonts w:ascii="Arial Narrow" w:hAnsi="Arial Narrow"/>
        </w:rPr>
      </w:pPr>
      <w:r>
        <w:rPr>
          <w:rFonts w:ascii="Arial Narrow" w:hAnsi="Arial Narrow"/>
        </w:rPr>
        <w:t>We need to keep in mind what listed trading volumes represent: Weekly t</w:t>
      </w:r>
      <w:r w:rsidR="00EE73F5">
        <w:rPr>
          <w:rFonts w:ascii="Arial Narrow" w:hAnsi="Arial Narrow"/>
        </w:rPr>
        <w:t>rading volumes</w:t>
      </w:r>
      <w:r>
        <w:rPr>
          <w:rFonts w:ascii="Arial Narrow" w:hAnsi="Arial Narrow"/>
        </w:rPr>
        <w:t xml:space="preserve"> in liquid listed REITs</w:t>
      </w:r>
      <w:r w:rsidR="00EE73F5">
        <w:rPr>
          <w:rFonts w:ascii="Arial Narrow" w:hAnsi="Arial Narrow"/>
        </w:rPr>
        <w:t xml:space="preserve"> infer that </w:t>
      </w:r>
      <w:r>
        <w:rPr>
          <w:rFonts w:ascii="Arial Narrow" w:hAnsi="Arial Narrow"/>
        </w:rPr>
        <w:t>1%</w:t>
      </w:r>
      <w:r w:rsidR="00EE73F5">
        <w:rPr>
          <w:rFonts w:ascii="Arial Narrow" w:hAnsi="Arial Narrow"/>
        </w:rPr>
        <w:t xml:space="preserve"> </w:t>
      </w:r>
      <w:r>
        <w:rPr>
          <w:rFonts w:ascii="Arial Narrow" w:hAnsi="Arial Narrow"/>
        </w:rPr>
        <w:t xml:space="preserve">of the register might have </w:t>
      </w:r>
      <w:r w:rsidR="00EE73F5">
        <w:rPr>
          <w:rFonts w:ascii="Arial Narrow" w:hAnsi="Arial Narrow"/>
        </w:rPr>
        <w:t>sold</w:t>
      </w:r>
      <w:r>
        <w:rPr>
          <w:rFonts w:ascii="Arial Narrow" w:hAnsi="Arial Narrow"/>
        </w:rPr>
        <w:t xml:space="preserve"> (and this sets price)</w:t>
      </w:r>
      <w:r w:rsidR="00EE73F5">
        <w:rPr>
          <w:rFonts w:ascii="Arial Narrow" w:hAnsi="Arial Narrow"/>
        </w:rPr>
        <w:t xml:space="preserve">, but </w:t>
      </w:r>
      <w:r>
        <w:rPr>
          <w:rFonts w:ascii="Arial Narrow" w:hAnsi="Arial Narrow"/>
        </w:rPr>
        <w:t xml:space="preserve">that </w:t>
      </w:r>
      <w:r w:rsidR="00EE73F5">
        <w:rPr>
          <w:rFonts w:ascii="Arial Narrow" w:hAnsi="Arial Narrow"/>
        </w:rPr>
        <w:t>9</w:t>
      </w:r>
      <w:r>
        <w:rPr>
          <w:rFonts w:ascii="Arial Narrow" w:hAnsi="Arial Narrow"/>
        </w:rPr>
        <w:t>9</w:t>
      </w:r>
      <w:r w:rsidR="00EE73F5">
        <w:rPr>
          <w:rFonts w:ascii="Arial Narrow" w:hAnsi="Arial Narrow"/>
        </w:rPr>
        <w:t xml:space="preserve">% of investors </w:t>
      </w:r>
      <w:r>
        <w:rPr>
          <w:rFonts w:ascii="Arial Narrow" w:hAnsi="Arial Narrow"/>
        </w:rPr>
        <w:t xml:space="preserve">didn’t </w:t>
      </w:r>
      <w:r>
        <w:rPr>
          <w:rFonts w:ascii="Arial Narrow" w:hAnsi="Arial Narrow"/>
        </w:rPr>
        <w:lastRenderedPageBreak/>
        <w:t xml:space="preserve">sell because </w:t>
      </w:r>
      <w:r w:rsidR="000A7638">
        <w:rPr>
          <w:rFonts w:ascii="Arial Narrow" w:hAnsi="Arial Narrow"/>
        </w:rPr>
        <w:t xml:space="preserve">(arguably) </w:t>
      </w:r>
      <w:r>
        <w:rPr>
          <w:rFonts w:ascii="Arial Narrow" w:hAnsi="Arial Narrow"/>
        </w:rPr>
        <w:t>they didn’t think this inferred value.</w:t>
      </w:r>
      <w:r w:rsidR="007512A4">
        <w:rPr>
          <w:rFonts w:ascii="Arial Narrow" w:hAnsi="Arial Narrow"/>
        </w:rPr>
        <w:t xml:space="preserve">  There will be a </w:t>
      </w:r>
      <w:r w:rsidR="00DA32D0">
        <w:rPr>
          <w:rFonts w:ascii="Arial Narrow" w:hAnsi="Arial Narrow"/>
        </w:rPr>
        <w:t>not insignificant portion of any share register that would be regarded as ‘passive’ investors also.</w:t>
      </w:r>
    </w:p>
    <w:p w14:paraId="2122034D" w14:textId="41C34408" w:rsidR="00E3128D" w:rsidRDefault="00E3128D" w:rsidP="0031459B">
      <w:pPr>
        <w:pStyle w:val="a3"/>
        <w:numPr>
          <w:ilvl w:val="0"/>
          <w:numId w:val="3"/>
        </w:numPr>
        <w:rPr>
          <w:rFonts w:ascii="Arial Narrow" w:hAnsi="Arial Narrow"/>
        </w:rPr>
      </w:pPr>
      <w:r>
        <w:rPr>
          <w:rFonts w:ascii="Arial Narrow" w:hAnsi="Arial Narrow"/>
        </w:rPr>
        <w:t xml:space="preserve">Recent </w:t>
      </w:r>
      <w:r w:rsidR="003D3CC8">
        <w:rPr>
          <w:rFonts w:ascii="Arial Narrow" w:hAnsi="Arial Narrow"/>
        </w:rPr>
        <w:t>Australian Securities Investment Commission (</w:t>
      </w:r>
      <w:r>
        <w:rPr>
          <w:rFonts w:ascii="Arial Narrow" w:hAnsi="Arial Narrow"/>
        </w:rPr>
        <w:t>ASIC</w:t>
      </w:r>
      <w:r w:rsidR="003D3CC8">
        <w:rPr>
          <w:rFonts w:ascii="Arial Narrow" w:hAnsi="Arial Narrow"/>
        </w:rPr>
        <w:t>)</w:t>
      </w:r>
      <w:r>
        <w:rPr>
          <w:rFonts w:ascii="Arial Narrow" w:hAnsi="Arial Narrow"/>
        </w:rPr>
        <w:t xml:space="preserve"> guidance </w:t>
      </w:r>
      <w:r w:rsidR="00886034">
        <w:rPr>
          <w:rFonts w:ascii="Arial Narrow" w:hAnsi="Arial Narrow"/>
        </w:rPr>
        <w:t xml:space="preserve">on </w:t>
      </w:r>
      <w:r>
        <w:rPr>
          <w:rFonts w:ascii="Arial Narrow" w:hAnsi="Arial Narrow"/>
        </w:rPr>
        <w:t>listed assets and market capitalisation</w:t>
      </w:r>
      <w:r w:rsidR="00A02446">
        <w:rPr>
          <w:rFonts w:ascii="Arial Narrow" w:hAnsi="Arial Narrow"/>
        </w:rPr>
        <w:t xml:space="preserve">: Market capitalisation does not </w:t>
      </w:r>
      <w:r w:rsidR="003D3CC8">
        <w:rPr>
          <w:rFonts w:ascii="Arial Narrow" w:hAnsi="Arial Narrow"/>
        </w:rPr>
        <w:t xml:space="preserve">necessarily </w:t>
      </w:r>
      <w:r w:rsidR="00A02446">
        <w:rPr>
          <w:rFonts w:ascii="Arial Narrow" w:hAnsi="Arial Narrow"/>
        </w:rPr>
        <w:t xml:space="preserve">infer </w:t>
      </w:r>
      <w:proofErr w:type="gramStart"/>
      <w:r w:rsidR="00A02446">
        <w:rPr>
          <w:rFonts w:ascii="Arial Narrow" w:hAnsi="Arial Narrow"/>
        </w:rPr>
        <w:t>value, but</w:t>
      </w:r>
      <w:proofErr w:type="gramEnd"/>
      <w:r w:rsidR="00A02446">
        <w:rPr>
          <w:rFonts w:ascii="Arial Narrow" w:hAnsi="Arial Narrow"/>
        </w:rPr>
        <w:t xml:space="preserve"> may provide an indicator.  You can’t rely solely on market capitalisation as your only indicator for value.</w:t>
      </w:r>
    </w:p>
    <w:p w14:paraId="785FB632" w14:textId="1EF397A4" w:rsidR="00934222" w:rsidRDefault="00680A6F" w:rsidP="0031459B">
      <w:pPr>
        <w:pStyle w:val="a3"/>
        <w:numPr>
          <w:ilvl w:val="0"/>
          <w:numId w:val="3"/>
        </w:numPr>
        <w:rPr>
          <w:rFonts w:ascii="Arial Narrow" w:hAnsi="Arial Narrow"/>
        </w:rPr>
      </w:pPr>
      <w:r>
        <w:rPr>
          <w:rFonts w:ascii="Arial Narrow" w:hAnsi="Arial Narrow"/>
        </w:rPr>
        <w:t>“</w:t>
      </w:r>
      <w:r w:rsidRPr="00680A6F">
        <w:rPr>
          <w:rFonts w:ascii="Arial Narrow" w:hAnsi="Arial Narrow"/>
        </w:rPr>
        <w:t>ASIC reminds preparers of financial statements and their auditors that an entity’s market capitalisation will generally not represent an appropriate fair value estimate for its underlying business. Transactions in a company’s shares and the sale of the whole of its business would generally take place in different markets that have different market participants. The market capitalisation of a company and the fair value of the underlying business can differ significantly.</w:t>
      </w:r>
      <w:r>
        <w:rPr>
          <w:rFonts w:ascii="Arial Narrow" w:hAnsi="Arial Narrow"/>
        </w:rPr>
        <w:t xml:space="preserve">” (see </w:t>
      </w:r>
      <w:hyperlink r:id="rId12" w:history="1">
        <w:r w:rsidRPr="00B06432">
          <w:rPr>
            <w:rStyle w:val="Hyperlink"/>
            <w:rFonts w:ascii="Arial Narrow" w:hAnsi="Arial Narrow"/>
          </w:rPr>
          <w:t>https://asic.gov.au/about-asic/news-centre/find-a-media-release/2023-releases/23-066mr-adslot-writes-down-goodwill-following-asic-review/</w:t>
        </w:r>
      </w:hyperlink>
      <w:r>
        <w:rPr>
          <w:rFonts w:ascii="Arial Narrow" w:hAnsi="Arial Narrow"/>
        </w:rPr>
        <w:t>)</w:t>
      </w:r>
    </w:p>
    <w:p w14:paraId="072CD994" w14:textId="3CA99612" w:rsidR="00886034" w:rsidRPr="00886034" w:rsidRDefault="00325110" w:rsidP="00886034">
      <w:pPr>
        <w:pStyle w:val="a3"/>
        <w:numPr>
          <w:ilvl w:val="0"/>
          <w:numId w:val="3"/>
        </w:numPr>
        <w:rPr>
          <w:rFonts w:ascii="Arial Narrow" w:hAnsi="Arial Narrow"/>
        </w:rPr>
      </w:pPr>
      <w:r>
        <w:rPr>
          <w:rFonts w:ascii="Arial Narrow" w:hAnsi="Arial Narrow"/>
        </w:rPr>
        <w:t>History of control premiums</w:t>
      </w:r>
      <w:r w:rsidR="00A02446">
        <w:rPr>
          <w:rFonts w:ascii="Arial Narrow" w:hAnsi="Arial Narrow"/>
        </w:rPr>
        <w:t>:</w:t>
      </w:r>
      <w:r>
        <w:rPr>
          <w:rFonts w:ascii="Arial Narrow" w:hAnsi="Arial Narrow"/>
        </w:rPr>
        <w:t xml:space="preserve"> reinforce that listed asset price</w:t>
      </w:r>
      <w:r w:rsidR="00886034">
        <w:rPr>
          <w:rFonts w:ascii="Arial Narrow" w:hAnsi="Arial Narrow"/>
        </w:rPr>
        <w:t>s</w:t>
      </w:r>
      <w:r>
        <w:rPr>
          <w:rFonts w:ascii="Arial Narrow" w:hAnsi="Arial Narrow"/>
        </w:rPr>
        <w:t xml:space="preserve"> can become divorced from value</w:t>
      </w:r>
      <w:r w:rsidR="00A02446">
        <w:rPr>
          <w:rFonts w:ascii="Arial Narrow" w:hAnsi="Arial Narrow"/>
        </w:rPr>
        <w:t>.</w:t>
      </w:r>
      <w:r w:rsidR="000A7638">
        <w:rPr>
          <w:rFonts w:ascii="Arial Narrow" w:hAnsi="Arial Narrow"/>
        </w:rPr>
        <w:t xml:space="preserve">  See quote (and graphs) from Atlas Infrastructure, “</w:t>
      </w:r>
      <w:r w:rsidR="000A7638" w:rsidRPr="000A7638">
        <w:rPr>
          <w:rFonts w:ascii="Arial Narrow" w:hAnsi="Arial Narrow"/>
        </w:rPr>
        <w:t>Listed infrastructure has historically traded at valuation multiples which are below the equivalent transactions in</w:t>
      </w:r>
      <w:r w:rsidR="00CF4EB7">
        <w:rPr>
          <w:rFonts w:ascii="Arial Narrow" w:hAnsi="Arial Narrow"/>
        </w:rPr>
        <w:t xml:space="preserve"> </w:t>
      </w:r>
      <w:r w:rsidR="000A7638" w:rsidRPr="000A7638">
        <w:rPr>
          <w:rFonts w:ascii="Arial Narrow" w:hAnsi="Arial Narrow"/>
        </w:rPr>
        <w:t>the unlisted market. The following two charts from GLIO provide useful insights into the relative valuations in</w:t>
      </w:r>
      <w:r w:rsidR="000A7638">
        <w:rPr>
          <w:rFonts w:ascii="Arial Narrow" w:hAnsi="Arial Narrow"/>
        </w:rPr>
        <w:t xml:space="preserve"> </w:t>
      </w:r>
      <w:r w:rsidR="000A7638" w:rsidRPr="000A7638">
        <w:rPr>
          <w:rFonts w:ascii="Arial Narrow" w:hAnsi="Arial Narrow"/>
        </w:rPr>
        <w:t>both utilities and transportation assets and confirm that in both cases the transactions have occurred at</w:t>
      </w:r>
      <w:r w:rsidR="000A7638">
        <w:rPr>
          <w:rFonts w:ascii="Arial Narrow" w:hAnsi="Arial Narrow"/>
        </w:rPr>
        <w:t xml:space="preserve"> </w:t>
      </w:r>
      <w:r w:rsidR="000A7638" w:rsidRPr="000A7638">
        <w:rPr>
          <w:rFonts w:ascii="Arial Narrow" w:hAnsi="Arial Narrow"/>
        </w:rPr>
        <w:t>materially higher valuations than their listed counterparts.</w:t>
      </w:r>
      <w:r w:rsidR="000A7638">
        <w:rPr>
          <w:rFonts w:ascii="Arial Narrow" w:hAnsi="Arial Narrow"/>
        </w:rPr>
        <w:t xml:space="preserve">”  Source: Atlas Infrastructure - </w:t>
      </w:r>
      <w:r w:rsidR="000A7638" w:rsidRPr="000A7638">
        <w:rPr>
          <w:rFonts w:ascii="Arial Narrow" w:hAnsi="Arial Narrow"/>
        </w:rPr>
        <w:t>Listed Infrastructure Sector Investment Characteristics - December 2020</w:t>
      </w:r>
    </w:p>
    <w:p w14:paraId="1FC48097" w14:textId="7A19B2D5" w:rsidR="00CF4EB7" w:rsidRDefault="00563386" w:rsidP="000A7638">
      <w:pPr>
        <w:pStyle w:val="a3"/>
        <w:numPr>
          <w:ilvl w:val="0"/>
          <w:numId w:val="3"/>
        </w:numPr>
        <w:rPr>
          <w:rFonts w:ascii="Arial Narrow" w:hAnsi="Arial Narrow"/>
        </w:rPr>
      </w:pPr>
      <w:r>
        <w:rPr>
          <w:rFonts w:ascii="Arial Narrow" w:hAnsi="Arial Narrow"/>
          <w:noProof/>
        </w:rPr>
        <w:drawing>
          <wp:inline distT="0" distB="0" distL="0" distR="0" wp14:anchorId="44D6B889" wp14:editId="7EB43E79">
            <wp:extent cx="4951111" cy="31051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9350" cy="3110317"/>
                    </a:xfrm>
                    <a:prstGeom prst="rect">
                      <a:avLst/>
                    </a:prstGeom>
                    <a:noFill/>
                  </pic:spPr>
                </pic:pic>
              </a:graphicData>
            </a:graphic>
          </wp:inline>
        </w:drawing>
      </w:r>
    </w:p>
    <w:p w14:paraId="5D941DD2" w14:textId="2EE15C10" w:rsidR="00563386" w:rsidRDefault="00563386" w:rsidP="000A7638">
      <w:pPr>
        <w:pStyle w:val="a3"/>
        <w:numPr>
          <w:ilvl w:val="0"/>
          <w:numId w:val="3"/>
        </w:numPr>
        <w:rPr>
          <w:rFonts w:ascii="Arial Narrow" w:hAnsi="Arial Narrow"/>
        </w:rPr>
      </w:pPr>
      <w:r>
        <w:rPr>
          <w:rFonts w:ascii="Arial Narrow" w:hAnsi="Arial Narrow"/>
          <w:noProof/>
        </w:rPr>
        <w:lastRenderedPageBreak/>
        <w:drawing>
          <wp:inline distT="0" distB="0" distL="0" distR="0" wp14:anchorId="49442D95" wp14:editId="5F04954A">
            <wp:extent cx="4951095" cy="3157986"/>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3591" cy="3165956"/>
                    </a:xfrm>
                    <a:prstGeom prst="rect">
                      <a:avLst/>
                    </a:prstGeom>
                    <a:noFill/>
                  </pic:spPr>
                </pic:pic>
              </a:graphicData>
            </a:graphic>
          </wp:inline>
        </w:drawing>
      </w:r>
    </w:p>
    <w:p w14:paraId="5E881852" w14:textId="6F9540A6" w:rsidR="00C0572D" w:rsidRPr="0099366E" w:rsidRDefault="000A7638" w:rsidP="0099366E">
      <w:pPr>
        <w:pStyle w:val="a3"/>
        <w:numPr>
          <w:ilvl w:val="0"/>
          <w:numId w:val="3"/>
        </w:numPr>
        <w:rPr>
          <w:rFonts w:ascii="Arial Narrow" w:hAnsi="Arial Narrow"/>
        </w:rPr>
      </w:pPr>
      <w:r>
        <w:rPr>
          <w:rFonts w:ascii="Arial Narrow" w:hAnsi="Arial Narrow"/>
        </w:rPr>
        <w:t xml:space="preserve">What do we see during volatile times: </w:t>
      </w:r>
      <w:r w:rsidR="00C0572D">
        <w:rPr>
          <w:rFonts w:ascii="Arial Narrow" w:hAnsi="Arial Narrow"/>
        </w:rPr>
        <w:t>During the volatility that ensued public market</w:t>
      </w:r>
      <w:r w:rsidR="00886034">
        <w:rPr>
          <w:rFonts w:ascii="Arial Narrow" w:hAnsi="Arial Narrow"/>
        </w:rPr>
        <w:t>s</w:t>
      </w:r>
      <w:r w:rsidR="00C0572D">
        <w:rPr>
          <w:rFonts w:ascii="Arial Narrow" w:hAnsi="Arial Narrow"/>
        </w:rPr>
        <w:t xml:space="preserve"> with the onset of the </w:t>
      </w:r>
      <w:r w:rsidR="00886034">
        <w:rPr>
          <w:rFonts w:ascii="Arial Narrow" w:hAnsi="Arial Narrow"/>
        </w:rPr>
        <w:t xml:space="preserve">COVID-19 </w:t>
      </w:r>
      <w:r w:rsidR="00C0572D">
        <w:rPr>
          <w:rFonts w:ascii="Arial Narrow" w:hAnsi="Arial Narrow"/>
        </w:rPr>
        <w:t xml:space="preserve">pandemic, private capital feasted on listed assets where they saw a divergence in listed prices </w:t>
      </w:r>
      <w:r w:rsidR="00690EBF">
        <w:rPr>
          <w:rFonts w:ascii="Arial Narrow" w:hAnsi="Arial Narrow"/>
        </w:rPr>
        <w:t>and</w:t>
      </w:r>
      <w:r w:rsidR="00C0572D">
        <w:rPr>
          <w:rFonts w:ascii="Arial Narrow" w:hAnsi="Arial Narrow"/>
        </w:rPr>
        <w:t xml:space="preserve"> </w:t>
      </w:r>
      <w:proofErr w:type="gramStart"/>
      <w:r w:rsidR="00C0572D">
        <w:rPr>
          <w:rFonts w:ascii="Arial Narrow" w:hAnsi="Arial Narrow"/>
        </w:rPr>
        <w:t>long term</w:t>
      </w:r>
      <w:proofErr w:type="gramEnd"/>
      <w:r w:rsidR="00C0572D">
        <w:rPr>
          <w:rFonts w:ascii="Arial Narrow" w:hAnsi="Arial Narrow"/>
        </w:rPr>
        <w:t xml:space="preserve"> value</w:t>
      </w:r>
      <w:r>
        <w:rPr>
          <w:rFonts w:ascii="Arial Narrow" w:hAnsi="Arial Narrow"/>
        </w:rPr>
        <w:t xml:space="preserve"> (</w:t>
      </w:r>
      <w:proofErr w:type="spellStart"/>
      <w:r>
        <w:rPr>
          <w:rFonts w:ascii="Arial Narrow" w:hAnsi="Arial Narrow"/>
        </w:rPr>
        <w:t>ie</w:t>
      </w:r>
      <w:proofErr w:type="spellEnd"/>
      <w:r>
        <w:rPr>
          <w:rFonts w:ascii="Arial Narrow" w:hAnsi="Arial Narrow"/>
        </w:rPr>
        <w:t xml:space="preserve">. in Australia we saw </w:t>
      </w:r>
      <w:proofErr w:type="gramStart"/>
      <w:r>
        <w:rPr>
          <w:rFonts w:ascii="Arial Narrow" w:hAnsi="Arial Narrow"/>
        </w:rPr>
        <w:t>a number of</w:t>
      </w:r>
      <w:proofErr w:type="gramEnd"/>
      <w:r>
        <w:rPr>
          <w:rFonts w:ascii="Arial Narrow" w:hAnsi="Arial Narrow"/>
        </w:rPr>
        <w:t xml:space="preserve"> listed entities get taken private in Sydney Airport</w:t>
      </w:r>
      <w:r w:rsidR="008446AF">
        <w:rPr>
          <w:rFonts w:ascii="Arial Narrow" w:hAnsi="Arial Narrow"/>
        </w:rPr>
        <w:t xml:space="preserve"> 42% premium</w:t>
      </w:r>
      <w:r w:rsidR="00690EBF">
        <w:rPr>
          <w:rFonts w:ascii="Arial Narrow" w:hAnsi="Arial Narrow"/>
        </w:rPr>
        <w:t xml:space="preserve"> to listed price</w:t>
      </w:r>
      <w:r>
        <w:rPr>
          <w:rFonts w:ascii="Arial Narrow" w:hAnsi="Arial Narrow"/>
        </w:rPr>
        <w:t>, Ausnet</w:t>
      </w:r>
      <w:r w:rsidR="008446AF">
        <w:rPr>
          <w:rFonts w:ascii="Arial Narrow" w:hAnsi="Arial Narrow"/>
        </w:rPr>
        <w:t xml:space="preserve"> 31% premium</w:t>
      </w:r>
      <w:r w:rsidR="00690EBF">
        <w:rPr>
          <w:rFonts w:ascii="Arial Narrow" w:hAnsi="Arial Narrow"/>
        </w:rPr>
        <w:t xml:space="preserve"> to listed price</w:t>
      </w:r>
      <w:r>
        <w:rPr>
          <w:rFonts w:ascii="Arial Narrow" w:hAnsi="Arial Narrow"/>
        </w:rPr>
        <w:t xml:space="preserve">, </w:t>
      </w:r>
      <w:r w:rsidR="00925912">
        <w:rPr>
          <w:rFonts w:ascii="Arial Narrow" w:hAnsi="Arial Narrow"/>
        </w:rPr>
        <w:t>Tilt Renewables</w:t>
      </w:r>
      <w:r w:rsidR="008446AF">
        <w:rPr>
          <w:rFonts w:ascii="Arial Narrow" w:hAnsi="Arial Narrow"/>
        </w:rPr>
        <w:t xml:space="preserve"> 106% premium</w:t>
      </w:r>
      <w:r w:rsidR="00690EBF">
        <w:rPr>
          <w:rFonts w:ascii="Arial Narrow" w:hAnsi="Arial Narrow"/>
        </w:rPr>
        <w:t xml:space="preserve"> to listed price</w:t>
      </w:r>
      <w:r w:rsidR="008446AF">
        <w:rPr>
          <w:rFonts w:ascii="Arial Narrow" w:hAnsi="Arial Narrow"/>
        </w:rPr>
        <w:t>, Spark Infrastructure 22% premium</w:t>
      </w:r>
      <w:r w:rsidR="00690EBF">
        <w:rPr>
          <w:rFonts w:ascii="Arial Narrow" w:hAnsi="Arial Narrow"/>
        </w:rPr>
        <w:t xml:space="preserve"> to listed price</w:t>
      </w:r>
      <w:r w:rsidR="008446AF">
        <w:rPr>
          <w:rFonts w:ascii="Arial Narrow" w:hAnsi="Arial Narrow"/>
        </w:rPr>
        <w:t>)</w:t>
      </w:r>
      <w:r>
        <w:rPr>
          <w:rFonts w:ascii="Arial Narrow" w:hAnsi="Arial Narrow"/>
        </w:rPr>
        <w:t>.</w:t>
      </w:r>
      <w:r w:rsidR="0099366E">
        <w:rPr>
          <w:rFonts w:ascii="Arial Narrow" w:hAnsi="Arial Narrow"/>
        </w:rPr>
        <w:t xml:space="preserve">  L</w:t>
      </w:r>
      <w:r w:rsidR="0099366E" w:rsidRPr="0099366E">
        <w:rPr>
          <w:rFonts w:ascii="Arial Narrow" w:hAnsi="Arial Narrow"/>
        </w:rPr>
        <w:t xml:space="preserve">isted markets have a history that is littered with examples where they don’t get </w:t>
      </w:r>
      <w:r w:rsidR="00940E47">
        <w:rPr>
          <w:rFonts w:ascii="Arial Narrow" w:hAnsi="Arial Narrow"/>
        </w:rPr>
        <w:t>value</w:t>
      </w:r>
      <w:r w:rsidR="0099366E" w:rsidRPr="0099366E">
        <w:rPr>
          <w:rFonts w:ascii="Arial Narrow" w:hAnsi="Arial Narrow"/>
        </w:rPr>
        <w:t xml:space="preserve"> right … in fact they quite often get it very wrong</w:t>
      </w:r>
      <w:r w:rsidR="00B20FD6">
        <w:rPr>
          <w:rFonts w:ascii="Arial Narrow" w:hAnsi="Arial Narrow"/>
        </w:rPr>
        <w:t>!</w:t>
      </w:r>
    </w:p>
    <w:p w14:paraId="140DED68" w14:textId="614C0168" w:rsidR="00E3128D" w:rsidRDefault="008446AF" w:rsidP="0031459B">
      <w:pPr>
        <w:pStyle w:val="a3"/>
        <w:numPr>
          <w:ilvl w:val="0"/>
          <w:numId w:val="3"/>
        </w:numPr>
        <w:rPr>
          <w:rFonts w:ascii="Arial Narrow" w:hAnsi="Arial Narrow"/>
        </w:rPr>
      </w:pPr>
      <w:r>
        <w:rPr>
          <w:rFonts w:ascii="Arial Narrow" w:hAnsi="Arial Narrow"/>
        </w:rPr>
        <w:t xml:space="preserve">Who knows what the future holds: </w:t>
      </w:r>
      <w:r w:rsidR="00E3128D">
        <w:rPr>
          <w:rFonts w:ascii="Arial Narrow" w:hAnsi="Arial Narrow"/>
        </w:rPr>
        <w:t>It remains to be seen in th</w:t>
      </w:r>
      <w:r w:rsidR="00C0572D">
        <w:rPr>
          <w:rFonts w:ascii="Arial Narrow" w:hAnsi="Arial Narrow"/>
        </w:rPr>
        <w:t>e current market whether th</w:t>
      </w:r>
      <w:r w:rsidR="00E271FF">
        <w:rPr>
          <w:rFonts w:ascii="Arial Narrow" w:hAnsi="Arial Narrow"/>
        </w:rPr>
        <w:t xml:space="preserve">e volatility </w:t>
      </w:r>
      <w:r w:rsidR="00C0572D">
        <w:rPr>
          <w:rFonts w:ascii="Arial Narrow" w:hAnsi="Arial Narrow"/>
        </w:rPr>
        <w:t xml:space="preserve">will present opportunities for the holders of significant capital to see </w:t>
      </w:r>
      <w:r w:rsidR="00E271FF">
        <w:rPr>
          <w:rFonts w:ascii="Arial Narrow" w:hAnsi="Arial Narrow"/>
        </w:rPr>
        <w:t xml:space="preserve">significant </w:t>
      </w:r>
      <w:r w:rsidR="00C0572D">
        <w:rPr>
          <w:rFonts w:ascii="Arial Narrow" w:hAnsi="Arial Narrow"/>
        </w:rPr>
        <w:t xml:space="preserve">underlying value </w:t>
      </w:r>
      <w:r w:rsidR="00E271FF">
        <w:rPr>
          <w:rFonts w:ascii="Arial Narrow" w:hAnsi="Arial Narrow"/>
        </w:rPr>
        <w:t xml:space="preserve">in assets </w:t>
      </w:r>
      <w:r w:rsidR="00C0572D">
        <w:rPr>
          <w:rFonts w:ascii="Arial Narrow" w:hAnsi="Arial Narrow"/>
        </w:rPr>
        <w:t>that are underappreciated by listed markets</w:t>
      </w:r>
      <w:r w:rsidR="00E271FF">
        <w:rPr>
          <w:rFonts w:ascii="Arial Narrow" w:hAnsi="Arial Narrow"/>
        </w:rPr>
        <w:t>.</w:t>
      </w:r>
      <w:r w:rsidR="00FC3B4F">
        <w:rPr>
          <w:rFonts w:ascii="Arial Narrow" w:hAnsi="Arial Narrow"/>
        </w:rPr>
        <w:t xml:space="preserve">  Will value investors take advantage of the arbitrage opportunity with listed assets and capitalise on bargain asset purchase opportunities?</w:t>
      </w:r>
      <w:r w:rsidR="0099366E">
        <w:rPr>
          <w:rFonts w:ascii="Arial Narrow" w:hAnsi="Arial Narrow"/>
        </w:rPr>
        <w:t xml:space="preserve">  This will play out differently depending upon the quality of the assets in question.</w:t>
      </w:r>
      <w:r w:rsidR="002B2178">
        <w:rPr>
          <w:rFonts w:ascii="Arial Narrow" w:hAnsi="Arial Narrow"/>
        </w:rPr>
        <w:t xml:space="preserve">  Low quality asset portfolios may indeed</w:t>
      </w:r>
      <w:r w:rsidR="004031DD">
        <w:rPr>
          <w:rFonts w:ascii="Arial Narrow" w:hAnsi="Arial Narrow"/>
        </w:rPr>
        <w:t xml:space="preserve"> be on the verge of significant pricing/valuations adjustments, but there will also be quality portfolios of assets whose underlying </w:t>
      </w:r>
      <w:r w:rsidR="00817E14">
        <w:rPr>
          <w:rFonts w:ascii="Arial Narrow" w:hAnsi="Arial Narrow"/>
        </w:rPr>
        <w:t>value has been underappreciated by listed markets</w:t>
      </w:r>
      <w:r w:rsidR="00CC0E93">
        <w:rPr>
          <w:rFonts w:ascii="Arial Narrow" w:hAnsi="Arial Narrow"/>
        </w:rPr>
        <w:t xml:space="preserve"> that will prove resilient an</w:t>
      </w:r>
      <w:r w:rsidR="002178A1">
        <w:rPr>
          <w:rFonts w:ascii="Arial Narrow" w:hAnsi="Arial Narrow"/>
        </w:rPr>
        <w:t>d rebound in price.</w:t>
      </w:r>
    </w:p>
    <w:p w14:paraId="0DF179FB" w14:textId="676FCFBC" w:rsidR="008D0925" w:rsidRDefault="008446AF" w:rsidP="0031459B">
      <w:pPr>
        <w:pStyle w:val="a3"/>
        <w:numPr>
          <w:ilvl w:val="0"/>
          <w:numId w:val="3"/>
        </w:numPr>
        <w:rPr>
          <w:rFonts w:ascii="Arial Narrow" w:hAnsi="Arial Narrow"/>
        </w:rPr>
      </w:pPr>
      <w:r>
        <w:rPr>
          <w:rFonts w:ascii="Arial Narrow" w:hAnsi="Arial Narrow"/>
        </w:rPr>
        <w:t xml:space="preserve">Is capital being allocated efficiently in markets: </w:t>
      </w:r>
      <w:r w:rsidR="008D0925">
        <w:rPr>
          <w:rFonts w:ascii="Arial Narrow" w:hAnsi="Arial Narrow"/>
        </w:rPr>
        <w:t xml:space="preserve">It could perhaps be argued that the emergence of mega-players in funds management, pension funds and sovereign wealth funds has created a wave of capital into unlisted markets that </w:t>
      </w:r>
      <w:r w:rsidR="008D0925" w:rsidRPr="00863914">
        <w:rPr>
          <w:rFonts w:ascii="Arial Narrow" w:hAnsi="Arial Narrow"/>
        </w:rPr>
        <w:t>disproportionately skew</w:t>
      </w:r>
      <w:r w:rsidR="008D0925">
        <w:rPr>
          <w:rFonts w:ascii="Arial Narrow" w:hAnsi="Arial Narrow"/>
        </w:rPr>
        <w:t>s the capital allocated to listed v unlisted environments</w:t>
      </w:r>
      <w:r w:rsidR="0099366E">
        <w:rPr>
          <w:rFonts w:ascii="Arial Narrow" w:hAnsi="Arial Narrow"/>
        </w:rPr>
        <w:t xml:space="preserve"> (see IFM Investors and NBIM quotes above)</w:t>
      </w:r>
      <w:r w:rsidR="008D0925">
        <w:rPr>
          <w:rFonts w:ascii="Arial Narrow" w:hAnsi="Arial Narrow"/>
        </w:rPr>
        <w:t>.</w:t>
      </w:r>
      <w:r w:rsidR="00D22B72">
        <w:rPr>
          <w:rFonts w:ascii="Arial Narrow" w:hAnsi="Arial Narrow"/>
        </w:rPr>
        <w:t xml:space="preserve">  If this section of the market has significant capital at their disposal to invest, </w:t>
      </w:r>
      <w:proofErr w:type="gramStart"/>
      <w:r w:rsidR="00D22B72">
        <w:rPr>
          <w:rFonts w:ascii="Arial Narrow" w:hAnsi="Arial Narrow"/>
        </w:rPr>
        <w:t>but yet</w:t>
      </w:r>
      <w:proofErr w:type="gramEnd"/>
      <w:r w:rsidR="00D22B72">
        <w:rPr>
          <w:rFonts w:ascii="Arial Narrow" w:hAnsi="Arial Narrow"/>
        </w:rPr>
        <w:t xml:space="preserve"> they don’t value the characteristics that the listed market</w:t>
      </w:r>
      <w:r w:rsidR="00915C47">
        <w:rPr>
          <w:rFonts w:ascii="Arial Narrow" w:hAnsi="Arial Narrow"/>
        </w:rPr>
        <w:t xml:space="preserve"> displays, they will continue to i) withdraw their capital from the listed market or ii) reallocate capital that was once destined for listed markets into private assets.</w:t>
      </w:r>
    </w:p>
    <w:p w14:paraId="02876E93" w14:textId="3ABD30F7" w:rsidR="008D0925" w:rsidRDefault="008D0925" w:rsidP="0031459B">
      <w:pPr>
        <w:pStyle w:val="a3"/>
        <w:numPr>
          <w:ilvl w:val="0"/>
          <w:numId w:val="3"/>
        </w:numPr>
        <w:rPr>
          <w:rFonts w:ascii="Arial Narrow" w:hAnsi="Arial Narrow"/>
        </w:rPr>
      </w:pPr>
      <w:r>
        <w:rPr>
          <w:rFonts w:ascii="Arial Narrow" w:hAnsi="Arial Narrow"/>
        </w:rPr>
        <w:t>Investors might be right to question their choices however with the recent redemption issues that have plagued the likes of BlackRock et al in the private real estate space</w:t>
      </w:r>
      <w:r w:rsidR="00AF1C3B">
        <w:rPr>
          <w:rFonts w:ascii="Arial Narrow" w:hAnsi="Arial Narrow"/>
        </w:rPr>
        <w:t>.  P</w:t>
      </w:r>
      <w:r>
        <w:rPr>
          <w:rFonts w:ascii="Arial Narrow" w:hAnsi="Arial Narrow"/>
        </w:rPr>
        <w:t xml:space="preserve">erhaps this </w:t>
      </w:r>
      <w:r w:rsidR="00182866">
        <w:rPr>
          <w:rFonts w:ascii="Arial Narrow" w:hAnsi="Arial Narrow"/>
        </w:rPr>
        <w:t xml:space="preserve">capital </w:t>
      </w:r>
      <w:r>
        <w:rPr>
          <w:rFonts w:ascii="Arial Narrow" w:hAnsi="Arial Narrow"/>
        </w:rPr>
        <w:t>imbalance will rectify itself and investors will start seeing listed asset</w:t>
      </w:r>
      <w:r w:rsidR="00AF1C3B">
        <w:rPr>
          <w:rFonts w:ascii="Arial Narrow" w:hAnsi="Arial Narrow"/>
        </w:rPr>
        <w:t xml:space="preserve"> environments</w:t>
      </w:r>
      <w:r>
        <w:rPr>
          <w:rFonts w:ascii="Arial Narrow" w:hAnsi="Arial Narrow"/>
        </w:rPr>
        <w:t xml:space="preserve"> with greater favouritism</w:t>
      </w:r>
      <w:r w:rsidR="0099366E">
        <w:rPr>
          <w:rFonts w:ascii="Arial Narrow" w:hAnsi="Arial Narrow"/>
        </w:rPr>
        <w:t xml:space="preserve"> because of the liquidity it provides</w:t>
      </w:r>
      <w:r>
        <w:rPr>
          <w:rFonts w:ascii="Arial Narrow" w:hAnsi="Arial Narrow"/>
        </w:rPr>
        <w:t xml:space="preserve">.  Investment theorists will argue that the market will always sort out inefficient capital allocation, and listed v unlisted real estate should </w:t>
      </w:r>
      <w:r w:rsidR="0099366E">
        <w:rPr>
          <w:rFonts w:ascii="Arial Narrow" w:hAnsi="Arial Narrow"/>
        </w:rPr>
        <w:t xml:space="preserve">arguably </w:t>
      </w:r>
      <w:r>
        <w:rPr>
          <w:rFonts w:ascii="Arial Narrow" w:hAnsi="Arial Narrow"/>
        </w:rPr>
        <w:t>be no different.</w:t>
      </w:r>
    </w:p>
    <w:p w14:paraId="7746C16B" w14:textId="561C706B" w:rsidR="005D246C" w:rsidRPr="005D246C" w:rsidRDefault="005D246C" w:rsidP="005D246C">
      <w:pPr>
        <w:pStyle w:val="a3"/>
        <w:numPr>
          <w:ilvl w:val="0"/>
          <w:numId w:val="3"/>
        </w:numPr>
        <w:rPr>
          <w:rFonts w:ascii="Arial Narrow" w:hAnsi="Arial Narrow"/>
        </w:rPr>
      </w:pPr>
      <w:r>
        <w:rPr>
          <w:rFonts w:ascii="Arial Narrow" w:hAnsi="Arial Narrow"/>
        </w:rPr>
        <w:t>Warren Buffet: “</w:t>
      </w:r>
      <w:r w:rsidRPr="005D246C">
        <w:rPr>
          <w:rFonts w:ascii="Arial Narrow" w:hAnsi="Arial Narrow"/>
        </w:rPr>
        <w:t xml:space="preserve">Remember that the stock market is a manic depressive. Markets will rise and fall for many reasons, but most of the declines will be relatively temporary. It’s important not to be manic depressive along with the markets. You do this by </w:t>
      </w:r>
      <w:commentRangeStart w:id="7"/>
      <w:r w:rsidRPr="005D246C">
        <w:rPr>
          <w:rFonts w:ascii="Arial Narrow" w:hAnsi="Arial Narrow"/>
        </w:rPr>
        <w:t>keeping your eye on the future and ignoring short-term market gyrations</w:t>
      </w:r>
      <w:commentRangeEnd w:id="7"/>
      <w:r w:rsidR="00A64EE8">
        <w:rPr>
          <w:rStyle w:val="ac"/>
        </w:rPr>
        <w:commentReference w:id="7"/>
      </w:r>
      <w:r w:rsidRPr="005D246C">
        <w:rPr>
          <w:rFonts w:ascii="Arial Narrow" w:hAnsi="Arial Narrow"/>
        </w:rPr>
        <w:t>.</w:t>
      </w:r>
      <w:r>
        <w:rPr>
          <w:rFonts w:ascii="Arial Narrow" w:hAnsi="Arial Narrow"/>
        </w:rPr>
        <w:t>”</w:t>
      </w:r>
    </w:p>
    <w:p w14:paraId="06D09333" w14:textId="77777777" w:rsidR="0099366E" w:rsidRPr="00863914" w:rsidRDefault="0099366E" w:rsidP="00863914">
      <w:pPr>
        <w:rPr>
          <w:rFonts w:ascii="Arial Narrow" w:hAnsi="Arial Narrow"/>
        </w:rPr>
      </w:pPr>
    </w:p>
    <w:p w14:paraId="5323BCE5" w14:textId="5B270753" w:rsidR="00863914" w:rsidRDefault="004953D6" w:rsidP="003C7490">
      <w:pPr>
        <w:pStyle w:val="1"/>
        <w:numPr>
          <w:ilvl w:val="0"/>
          <w:numId w:val="7"/>
        </w:numPr>
        <w:rPr>
          <w:rFonts w:ascii="Arial Narrow" w:hAnsi="Arial Narrow"/>
          <w:b/>
          <w:bCs/>
          <w:color w:val="000000" w:themeColor="text1"/>
          <w:sz w:val="22"/>
          <w:szCs w:val="22"/>
        </w:rPr>
      </w:pPr>
      <w:bookmarkStart w:id="8" w:name="_Toc134193125"/>
      <w:r w:rsidRPr="0026757D">
        <w:rPr>
          <w:rFonts w:ascii="Arial Narrow" w:hAnsi="Arial Narrow"/>
          <w:b/>
          <w:bCs/>
          <w:color w:val="000000" w:themeColor="text1"/>
          <w:sz w:val="22"/>
          <w:szCs w:val="22"/>
        </w:rPr>
        <w:lastRenderedPageBreak/>
        <w:t>Valid r</w:t>
      </w:r>
      <w:r w:rsidR="00863914" w:rsidRPr="0026757D">
        <w:rPr>
          <w:rFonts w:ascii="Arial Narrow" w:hAnsi="Arial Narrow"/>
          <w:b/>
          <w:bCs/>
          <w:color w:val="000000" w:themeColor="text1"/>
          <w:sz w:val="22"/>
          <w:szCs w:val="22"/>
        </w:rPr>
        <w:t xml:space="preserve">easons </w:t>
      </w:r>
      <w:r w:rsidRPr="0026757D">
        <w:rPr>
          <w:rFonts w:ascii="Arial Narrow" w:hAnsi="Arial Narrow"/>
          <w:b/>
          <w:bCs/>
          <w:color w:val="000000" w:themeColor="text1"/>
          <w:sz w:val="22"/>
          <w:szCs w:val="22"/>
        </w:rPr>
        <w:t xml:space="preserve">as to </w:t>
      </w:r>
      <w:r w:rsidR="00863914" w:rsidRPr="0026757D">
        <w:rPr>
          <w:rFonts w:ascii="Arial Narrow" w:hAnsi="Arial Narrow"/>
          <w:b/>
          <w:bCs/>
          <w:color w:val="000000" w:themeColor="text1"/>
          <w:sz w:val="22"/>
          <w:szCs w:val="22"/>
        </w:rPr>
        <w:t>why the</w:t>
      </w:r>
      <w:r w:rsidRPr="0026757D">
        <w:rPr>
          <w:rFonts w:ascii="Arial Narrow" w:hAnsi="Arial Narrow"/>
          <w:b/>
          <w:bCs/>
          <w:color w:val="000000" w:themeColor="text1"/>
          <w:sz w:val="22"/>
          <w:szCs w:val="22"/>
        </w:rPr>
        <w:t>re</w:t>
      </w:r>
      <w:r w:rsidR="00863914" w:rsidRPr="0026757D">
        <w:rPr>
          <w:rFonts w:ascii="Arial Narrow" w:hAnsi="Arial Narrow"/>
          <w:b/>
          <w:bCs/>
          <w:color w:val="000000" w:themeColor="text1"/>
          <w:sz w:val="22"/>
          <w:szCs w:val="22"/>
        </w:rPr>
        <w:t xml:space="preserve"> may be a </w:t>
      </w:r>
      <w:proofErr w:type="gramStart"/>
      <w:r w:rsidR="00863914" w:rsidRPr="0026757D">
        <w:rPr>
          <w:rFonts w:ascii="Arial Narrow" w:hAnsi="Arial Narrow"/>
          <w:b/>
          <w:bCs/>
          <w:color w:val="000000" w:themeColor="text1"/>
          <w:sz w:val="22"/>
          <w:szCs w:val="22"/>
        </w:rPr>
        <w:t>delta</w:t>
      </w:r>
      <w:bookmarkEnd w:id="8"/>
      <w:proofErr w:type="gramEnd"/>
    </w:p>
    <w:p w14:paraId="0E6DD6BC" w14:textId="77777777" w:rsidR="0026757D" w:rsidRPr="0026757D" w:rsidRDefault="0026757D" w:rsidP="0026757D"/>
    <w:p w14:paraId="7DBF5B8F" w14:textId="6209090F" w:rsidR="00863914" w:rsidRPr="008D0925" w:rsidRDefault="00863914" w:rsidP="008D0925">
      <w:pPr>
        <w:pStyle w:val="a3"/>
        <w:numPr>
          <w:ilvl w:val="0"/>
          <w:numId w:val="3"/>
        </w:numPr>
        <w:rPr>
          <w:rFonts w:ascii="Arial Narrow" w:hAnsi="Arial Narrow"/>
        </w:rPr>
      </w:pPr>
      <w:r w:rsidRPr="008D0925">
        <w:rPr>
          <w:rFonts w:ascii="Arial Narrow" w:hAnsi="Arial Narrow"/>
        </w:rPr>
        <w:t>Frequency of valuation</w:t>
      </w:r>
      <w:r w:rsidR="008446AF">
        <w:rPr>
          <w:rFonts w:ascii="Arial Narrow" w:hAnsi="Arial Narrow"/>
        </w:rPr>
        <w:t xml:space="preserve">: but </w:t>
      </w:r>
      <w:r w:rsidR="0099366E">
        <w:rPr>
          <w:rFonts w:ascii="Arial Narrow" w:hAnsi="Arial Narrow"/>
        </w:rPr>
        <w:t xml:space="preserve">this is </w:t>
      </w:r>
      <w:r w:rsidR="008446AF">
        <w:rPr>
          <w:rFonts w:ascii="Arial Narrow" w:hAnsi="Arial Narrow"/>
        </w:rPr>
        <w:t>not a valuation issue, this is a governance issue.</w:t>
      </w:r>
      <w:r w:rsidR="00197716">
        <w:rPr>
          <w:rFonts w:ascii="Arial Narrow" w:hAnsi="Arial Narrow"/>
        </w:rPr>
        <w:t xml:space="preserve">  </w:t>
      </w:r>
      <w:r w:rsidR="002E3AD0">
        <w:rPr>
          <w:rFonts w:ascii="Arial Narrow" w:hAnsi="Arial Narrow"/>
        </w:rPr>
        <w:t>Particularly during volatile times, it is extremely important that assets held in an unlisted environment re-value their portfolio on a frequent basis (</w:t>
      </w:r>
      <w:proofErr w:type="spellStart"/>
      <w:r w:rsidR="002E3AD0">
        <w:rPr>
          <w:rFonts w:ascii="Arial Narrow" w:hAnsi="Arial Narrow"/>
        </w:rPr>
        <w:t>ie</w:t>
      </w:r>
      <w:proofErr w:type="spellEnd"/>
      <w:r w:rsidR="002E3AD0">
        <w:rPr>
          <w:rFonts w:ascii="Arial Narrow" w:hAnsi="Arial Narrow"/>
        </w:rPr>
        <w:t>. quarterly) to ensure their unit prices are</w:t>
      </w:r>
      <w:r w:rsidR="00884595">
        <w:rPr>
          <w:rFonts w:ascii="Arial Narrow" w:hAnsi="Arial Narrow"/>
        </w:rPr>
        <w:t xml:space="preserve"> not divergent from that in the </w:t>
      </w:r>
      <w:proofErr w:type="gramStart"/>
      <w:r w:rsidR="00884595">
        <w:rPr>
          <w:rFonts w:ascii="Arial Narrow" w:hAnsi="Arial Narrow"/>
        </w:rPr>
        <w:t>market place</w:t>
      </w:r>
      <w:proofErr w:type="gramEnd"/>
      <w:r w:rsidR="00884595">
        <w:rPr>
          <w:rFonts w:ascii="Arial Narrow" w:hAnsi="Arial Narrow"/>
        </w:rPr>
        <w:t>.  A move from an annual valuation process to more frequent (</w:t>
      </w:r>
      <w:proofErr w:type="spellStart"/>
      <w:r w:rsidR="00884595">
        <w:rPr>
          <w:rFonts w:ascii="Arial Narrow" w:hAnsi="Arial Narrow"/>
        </w:rPr>
        <w:t>ie</w:t>
      </w:r>
      <w:proofErr w:type="spellEnd"/>
      <w:r w:rsidR="00884595">
        <w:rPr>
          <w:rFonts w:ascii="Arial Narrow" w:hAnsi="Arial Narrow"/>
        </w:rPr>
        <w:t xml:space="preserve">. quarterly) should be encourage where this isn’t </w:t>
      </w:r>
      <w:r w:rsidR="004F3C32">
        <w:rPr>
          <w:rFonts w:ascii="Arial Narrow" w:hAnsi="Arial Narrow"/>
        </w:rPr>
        <w:t>already in place.</w:t>
      </w:r>
    </w:p>
    <w:p w14:paraId="2F1B6215" w14:textId="2EB69EF6" w:rsidR="00EE73F5" w:rsidRDefault="008446AF" w:rsidP="008D0925">
      <w:pPr>
        <w:pStyle w:val="a3"/>
        <w:numPr>
          <w:ilvl w:val="0"/>
          <w:numId w:val="3"/>
        </w:numPr>
        <w:rPr>
          <w:rFonts w:ascii="Arial Narrow" w:hAnsi="Arial Narrow"/>
        </w:rPr>
      </w:pPr>
      <w:r>
        <w:rPr>
          <w:rFonts w:ascii="Arial Narrow" w:hAnsi="Arial Narrow"/>
        </w:rPr>
        <w:t xml:space="preserve">Ignoring the </w:t>
      </w:r>
      <w:proofErr w:type="gramStart"/>
      <w:r w:rsidR="005D246C">
        <w:rPr>
          <w:rFonts w:ascii="Arial Narrow" w:hAnsi="Arial Narrow"/>
        </w:rPr>
        <w:t xml:space="preserve">often </w:t>
      </w:r>
      <w:r>
        <w:rPr>
          <w:rFonts w:ascii="Arial Narrow" w:hAnsi="Arial Narrow"/>
        </w:rPr>
        <w:t>long</w:t>
      </w:r>
      <w:r w:rsidR="005D246C">
        <w:rPr>
          <w:rFonts w:ascii="Arial Narrow" w:hAnsi="Arial Narrow"/>
        </w:rPr>
        <w:t>-</w:t>
      </w:r>
      <w:r>
        <w:rPr>
          <w:rFonts w:ascii="Arial Narrow" w:hAnsi="Arial Narrow"/>
        </w:rPr>
        <w:t>term</w:t>
      </w:r>
      <w:proofErr w:type="gramEnd"/>
      <w:r>
        <w:rPr>
          <w:rFonts w:ascii="Arial Narrow" w:hAnsi="Arial Narrow"/>
        </w:rPr>
        <w:t xml:space="preserve"> nature of lease terms: </w:t>
      </w:r>
      <w:r w:rsidR="00EE73F5" w:rsidRPr="008D0925">
        <w:rPr>
          <w:rFonts w:ascii="Arial Narrow" w:hAnsi="Arial Narrow"/>
        </w:rPr>
        <w:t xml:space="preserve">Lease terms are often extended </w:t>
      </w:r>
      <w:r w:rsidR="00F86619" w:rsidRPr="008D0925">
        <w:rPr>
          <w:rFonts w:ascii="Arial Narrow" w:hAnsi="Arial Narrow"/>
        </w:rPr>
        <w:t xml:space="preserve">or diversified </w:t>
      </w:r>
      <w:r w:rsidR="00EE73F5" w:rsidRPr="008D0925">
        <w:rPr>
          <w:rFonts w:ascii="Arial Narrow" w:hAnsi="Arial Narrow"/>
        </w:rPr>
        <w:t xml:space="preserve">and have time on their side </w:t>
      </w:r>
      <w:r w:rsidR="00F86619" w:rsidRPr="008D0925">
        <w:rPr>
          <w:rFonts w:ascii="Arial Narrow" w:hAnsi="Arial Narrow"/>
        </w:rPr>
        <w:t>which</w:t>
      </w:r>
      <w:r w:rsidR="00EE73F5" w:rsidRPr="008D0925">
        <w:rPr>
          <w:rFonts w:ascii="Arial Narrow" w:hAnsi="Arial Narrow"/>
        </w:rPr>
        <w:t xml:space="preserve"> smooth</w:t>
      </w:r>
      <w:r w:rsidR="00F86619" w:rsidRPr="008D0925">
        <w:rPr>
          <w:rFonts w:ascii="Arial Narrow" w:hAnsi="Arial Narrow"/>
        </w:rPr>
        <w:t>s</w:t>
      </w:r>
      <w:r w:rsidR="00EE73F5" w:rsidRPr="008D0925">
        <w:rPr>
          <w:rFonts w:ascii="Arial Narrow" w:hAnsi="Arial Narrow"/>
        </w:rPr>
        <w:t xml:space="preserve"> </w:t>
      </w:r>
      <w:r w:rsidR="00F86619" w:rsidRPr="008D0925">
        <w:rPr>
          <w:rFonts w:ascii="Arial Narrow" w:hAnsi="Arial Narrow"/>
        </w:rPr>
        <w:t xml:space="preserve">any short-term </w:t>
      </w:r>
      <w:r w:rsidR="00EE73F5" w:rsidRPr="008D0925">
        <w:rPr>
          <w:rFonts w:ascii="Arial Narrow" w:hAnsi="Arial Narrow"/>
        </w:rPr>
        <w:t>volatility</w:t>
      </w:r>
      <w:r>
        <w:rPr>
          <w:rFonts w:ascii="Arial Narrow" w:hAnsi="Arial Narrow"/>
        </w:rPr>
        <w:t>, whereas listed markets can sometimes price in “gloom” into their cashflow forecast</w:t>
      </w:r>
      <w:r w:rsidR="0099366E">
        <w:rPr>
          <w:rFonts w:ascii="Arial Narrow" w:hAnsi="Arial Narrow"/>
        </w:rPr>
        <w:t xml:space="preserve"> immediately when in reality</w:t>
      </w:r>
      <w:r>
        <w:rPr>
          <w:rFonts w:ascii="Arial Narrow" w:hAnsi="Arial Narrow"/>
        </w:rPr>
        <w:t xml:space="preserve"> that might not have such an immediate effect.</w:t>
      </w:r>
    </w:p>
    <w:p w14:paraId="0C805825" w14:textId="69912282" w:rsidR="00EE73F5" w:rsidRPr="008D0925" w:rsidRDefault="005D246C" w:rsidP="008D0925">
      <w:pPr>
        <w:pStyle w:val="a3"/>
        <w:numPr>
          <w:ilvl w:val="0"/>
          <w:numId w:val="3"/>
        </w:numPr>
        <w:rPr>
          <w:rFonts w:ascii="Arial Narrow" w:hAnsi="Arial Narrow"/>
        </w:rPr>
      </w:pPr>
      <w:r>
        <w:rPr>
          <w:rFonts w:ascii="Arial Narrow" w:hAnsi="Arial Narrow"/>
        </w:rPr>
        <w:t>Cost of capital: The c</w:t>
      </w:r>
      <w:r w:rsidR="00EE73F5" w:rsidRPr="008D0925">
        <w:rPr>
          <w:rFonts w:ascii="Arial Narrow" w:hAnsi="Arial Narrow"/>
        </w:rPr>
        <w:t xml:space="preserve">ost of </w:t>
      </w:r>
      <w:r w:rsidR="00F86619" w:rsidRPr="008D0925">
        <w:rPr>
          <w:rFonts w:ascii="Arial Narrow" w:hAnsi="Arial Narrow"/>
        </w:rPr>
        <w:t>capital</w:t>
      </w:r>
      <w:r w:rsidR="00EE73F5" w:rsidRPr="008D0925">
        <w:rPr>
          <w:rFonts w:ascii="Arial Narrow" w:hAnsi="Arial Narrow"/>
        </w:rPr>
        <w:t xml:space="preserve"> </w:t>
      </w:r>
      <w:r w:rsidR="00F86619" w:rsidRPr="008D0925">
        <w:rPr>
          <w:rFonts w:ascii="Arial Narrow" w:hAnsi="Arial Narrow"/>
        </w:rPr>
        <w:t xml:space="preserve">in the market </w:t>
      </w:r>
      <w:r w:rsidR="00EE73F5" w:rsidRPr="008D0925">
        <w:rPr>
          <w:rFonts w:ascii="Arial Narrow" w:hAnsi="Arial Narrow"/>
        </w:rPr>
        <w:t xml:space="preserve">doesn’t move as quickly as the </w:t>
      </w:r>
      <w:proofErr w:type="gramStart"/>
      <w:r w:rsidR="00EE73F5" w:rsidRPr="008D0925">
        <w:rPr>
          <w:rFonts w:ascii="Arial Narrow" w:hAnsi="Arial Narrow"/>
        </w:rPr>
        <w:t>risk free</w:t>
      </w:r>
      <w:proofErr w:type="gramEnd"/>
      <w:r w:rsidR="00EE73F5" w:rsidRPr="008D0925">
        <w:rPr>
          <w:rFonts w:ascii="Arial Narrow" w:hAnsi="Arial Narrow"/>
        </w:rPr>
        <w:t xml:space="preserve"> rate</w:t>
      </w:r>
      <w:r w:rsidR="00F86619" w:rsidRPr="008D0925">
        <w:rPr>
          <w:rFonts w:ascii="Arial Narrow" w:hAnsi="Arial Narrow"/>
        </w:rPr>
        <w:t>, meaning that a WACC</w:t>
      </w:r>
      <w:r w:rsidR="0099366E">
        <w:rPr>
          <w:rFonts w:ascii="Arial Narrow" w:hAnsi="Arial Narrow"/>
        </w:rPr>
        <w:t>/CAPM</w:t>
      </w:r>
      <w:r w:rsidR="00F86619" w:rsidRPr="008D0925">
        <w:rPr>
          <w:rFonts w:ascii="Arial Narrow" w:hAnsi="Arial Narrow"/>
        </w:rPr>
        <w:t xml:space="preserve"> calculation</w:t>
      </w:r>
      <w:r w:rsidR="00EE73F5" w:rsidRPr="008D0925">
        <w:rPr>
          <w:rFonts w:ascii="Arial Narrow" w:hAnsi="Arial Narrow"/>
        </w:rPr>
        <w:t xml:space="preserve"> </w:t>
      </w:r>
      <w:r w:rsidR="00F86619" w:rsidRPr="008D0925">
        <w:rPr>
          <w:rFonts w:ascii="Arial Narrow" w:hAnsi="Arial Narrow"/>
        </w:rPr>
        <w:t xml:space="preserve">of discount rate </w:t>
      </w:r>
      <w:r w:rsidR="00EE73F5" w:rsidRPr="008D0925">
        <w:rPr>
          <w:rFonts w:ascii="Arial Narrow" w:hAnsi="Arial Narrow"/>
        </w:rPr>
        <w:t>creat</w:t>
      </w:r>
      <w:r w:rsidR="00E3128D" w:rsidRPr="008D0925">
        <w:rPr>
          <w:rFonts w:ascii="Arial Narrow" w:hAnsi="Arial Narrow"/>
        </w:rPr>
        <w:t>es</w:t>
      </w:r>
      <w:r w:rsidR="00EE73F5" w:rsidRPr="008D0925">
        <w:rPr>
          <w:rFonts w:ascii="Arial Narrow" w:hAnsi="Arial Narrow"/>
        </w:rPr>
        <w:t xml:space="preserve"> a divergence</w:t>
      </w:r>
      <w:r w:rsidR="00F86619" w:rsidRPr="008D0925">
        <w:rPr>
          <w:rFonts w:ascii="Arial Narrow" w:hAnsi="Arial Narrow"/>
        </w:rPr>
        <w:t xml:space="preserve"> with the market.  The change is often more gradual</w:t>
      </w:r>
      <w:r w:rsidR="00E3128D" w:rsidRPr="008D0925">
        <w:rPr>
          <w:rFonts w:ascii="Arial Narrow" w:hAnsi="Arial Narrow"/>
        </w:rPr>
        <w:t xml:space="preserve"> on the way up and down in the interest rate cycle</w:t>
      </w:r>
      <w:r w:rsidR="00F86619" w:rsidRPr="008D0925">
        <w:rPr>
          <w:rFonts w:ascii="Arial Narrow" w:hAnsi="Arial Narrow"/>
        </w:rPr>
        <w:t>.</w:t>
      </w:r>
      <w:r>
        <w:rPr>
          <w:rFonts w:ascii="Arial Narrow" w:hAnsi="Arial Narrow"/>
        </w:rPr>
        <w:t xml:space="preserve">  Many listed and unlisted real estate entities around the world have hedged cost of capital risk over the last few years, meaning that the recent rapid rise in the cost of capital won’t necessarily start truly impacting these markets for </w:t>
      </w:r>
      <w:proofErr w:type="gramStart"/>
      <w:r>
        <w:rPr>
          <w:rFonts w:ascii="Arial Narrow" w:hAnsi="Arial Narrow"/>
        </w:rPr>
        <w:t>a number of</w:t>
      </w:r>
      <w:proofErr w:type="gramEnd"/>
      <w:r>
        <w:rPr>
          <w:rFonts w:ascii="Arial Narrow" w:hAnsi="Arial Narrow"/>
        </w:rPr>
        <w:t xml:space="preserve"> years yet.</w:t>
      </w:r>
      <w:r w:rsidR="0099366E">
        <w:rPr>
          <w:rFonts w:ascii="Arial Narrow" w:hAnsi="Arial Narrow"/>
        </w:rPr>
        <w:t xml:space="preserve">  Many investors still have access to undrawn debt at historically low costs.</w:t>
      </w:r>
    </w:p>
    <w:p w14:paraId="2E36FA46" w14:textId="11020645" w:rsidR="0099366E" w:rsidRPr="005E6B99" w:rsidRDefault="005D246C" w:rsidP="005E6B99">
      <w:pPr>
        <w:pStyle w:val="a3"/>
        <w:numPr>
          <w:ilvl w:val="0"/>
          <w:numId w:val="3"/>
        </w:numPr>
        <w:rPr>
          <w:rFonts w:ascii="Arial Narrow" w:hAnsi="Arial Narrow"/>
        </w:rPr>
      </w:pPr>
      <w:r>
        <w:rPr>
          <w:rFonts w:ascii="Arial Narrow" w:hAnsi="Arial Narrow"/>
        </w:rPr>
        <w:t xml:space="preserve">The psychology difference between listed and unlisted participants: </w:t>
      </w:r>
      <w:r w:rsidR="00E3128D" w:rsidRPr="008D0925">
        <w:rPr>
          <w:rFonts w:ascii="Arial Narrow" w:hAnsi="Arial Narrow"/>
        </w:rPr>
        <w:t>During times of volatility, investors in the unlisted environment don’t necessarily need their capital with urgency in the same way that those in a listed environment do, creating a divergence in evidence as a result in the respective markets.</w:t>
      </w:r>
    </w:p>
    <w:p w14:paraId="57750341" w14:textId="4F432F0A" w:rsidR="003F16F4" w:rsidRPr="005547A7" w:rsidRDefault="003F16F4" w:rsidP="003C2DA2">
      <w:pPr>
        <w:pStyle w:val="a3"/>
        <w:numPr>
          <w:ilvl w:val="0"/>
          <w:numId w:val="3"/>
        </w:numPr>
        <w:rPr>
          <w:rFonts w:ascii="Arial Narrow" w:hAnsi="Arial Narrow"/>
        </w:rPr>
      </w:pPr>
      <w:r>
        <w:rPr>
          <w:rFonts w:ascii="Arial Narrow" w:hAnsi="Arial Narrow"/>
        </w:rPr>
        <w:t xml:space="preserve">Different investors will have different investment motives: Whilst income generation is often very high in the investment decision tree, </w:t>
      </w:r>
      <w:proofErr w:type="spellStart"/>
      <w:r>
        <w:rPr>
          <w:rFonts w:ascii="Arial Narrow" w:hAnsi="Arial Narrow"/>
        </w:rPr>
        <w:t>its</w:t>
      </w:r>
      <w:proofErr w:type="spellEnd"/>
      <w:r>
        <w:rPr>
          <w:rFonts w:ascii="Arial Narrow" w:hAnsi="Arial Narrow"/>
        </w:rPr>
        <w:t xml:space="preserve"> not always the sole investment motive.  Psychologically, history would say that ‘assets’ can be relied upon as a long-term store of value, whereas those that participate in a listed environment know all too well that because of the lack of control and </w:t>
      </w:r>
      <w:r w:rsidR="005E6B99">
        <w:rPr>
          <w:rFonts w:ascii="Arial Narrow" w:hAnsi="Arial Narrow"/>
        </w:rPr>
        <w:t xml:space="preserve">potential for equity dilution, equity markets can work against this thesis.  This arguably creates a mismatch with some investors having preference </w:t>
      </w:r>
      <w:r w:rsidR="006404CB">
        <w:rPr>
          <w:rFonts w:ascii="Arial Narrow" w:hAnsi="Arial Narrow"/>
        </w:rPr>
        <w:t xml:space="preserve">or </w:t>
      </w:r>
      <w:r w:rsidR="00C344E3">
        <w:rPr>
          <w:rFonts w:ascii="Arial Narrow" w:hAnsi="Arial Narrow"/>
        </w:rPr>
        <w:t xml:space="preserve">inherent bias </w:t>
      </w:r>
      <w:r w:rsidR="005E6B99">
        <w:rPr>
          <w:rFonts w:ascii="Arial Narrow" w:hAnsi="Arial Narrow"/>
        </w:rPr>
        <w:t>over one form than the other (despite being underpinned by the same asset class), creating a valid reason for the delta.</w:t>
      </w:r>
    </w:p>
    <w:p w14:paraId="1AE0A851" w14:textId="12FF7C95" w:rsidR="003C2DA2" w:rsidRDefault="003C2DA2" w:rsidP="003C7490">
      <w:pPr>
        <w:pStyle w:val="1"/>
        <w:numPr>
          <w:ilvl w:val="0"/>
          <w:numId w:val="7"/>
        </w:numPr>
        <w:rPr>
          <w:rFonts w:ascii="Arial Narrow" w:hAnsi="Arial Narrow"/>
          <w:b/>
          <w:bCs/>
          <w:color w:val="000000" w:themeColor="text1"/>
          <w:sz w:val="22"/>
          <w:szCs w:val="22"/>
        </w:rPr>
      </w:pPr>
      <w:bookmarkStart w:id="9" w:name="_Toc134193126"/>
      <w:r w:rsidRPr="0026757D">
        <w:rPr>
          <w:rFonts w:ascii="Arial Narrow" w:hAnsi="Arial Narrow"/>
          <w:b/>
          <w:bCs/>
          <w:color w:val="000000" w:themeColor="text1"/>
          <w:sz w:val="22"/>
          <w:szCs w:val="22"/>
        </w:rPr>
        <w:t>Should valuations solely utilise an income approach to value assets in an unlisted environment?</w:t>
      </w:r>
      <w:bookmarkEnd w:id="9"/>
    </w:p>
    <w:p w14:paraId="216C4EAE" w14:textId="77777777" w:rsidR="0026757D" w:rsidRPr="0026757D" w:rsidRDefault="0026757D" w:rsidP="0026757D"/>
    <w:p w14:paraId="76E1C210" w14:textId="5E8656F1" w:rsidR="003C2DA2" w:rsidRDefault="005D246C" w:rsidP="00863914">
      <w:pPr>
        <w:pStyle w:val="a3"/>
        <w:numPr>
          <w:ilvl w:val="0"/>
          <w:numId w:val="2"/>
        </w:numPr>
        <w:rPr>
          <w:rFonts w:ascii="Arial Narrow" w:hAnsi="Arial Narrow"/>
        </w:rPr>
      </w:pPr>
      <w:r>
        <w:rPr>
          <w:rFonts w:ascii="Arial Narrow" w:hAnsi="Arial Narrow"/>
        </w:rPr>
        <w:t xml:space="preserve">Capitalisation v DCF: </w:t>
      </w:r>
      <w:r w:rsidR="003C2DA2">
        <w:rPr>
          <w:rFonts w:ascii="Arial Narrow" w:hAnsi="Arial Narrow"/>
        </w:rPr>
        <w:t xml:space="preserve">Criticism from the listed environment that valuers should ditch the market </w:t>
      </w:r>
      <w:r w:rsidR="005E6B99">
        <w:rPr>
          <w:rFonts w:ascii="Arial Narrow" w:hAnsi="Arial Narrow"/>
        </w:rPr>
        <w:t xml:space="preserve">capitalisation </w:t>
      </w:r>
      <w:r w:rsidR="003C2DA2">
        <w:rPr>
          <w:rFonts w:ascii="Arial Narrow" w:hAnsi="Arial Narrow"/>
        </w:rPr>
        <w:t xml:space="preserve">approach and focus on the </w:t>
      </w:r>
      <w:r w:rsidR="005E6B99">
        <w:rPr>
          <w:rFonts w:ascii="Arial Narrow" w:hAnsi="Arial Narrow"/>
        </w:rPr>
        <w:t xml:space="preserve">DCF </w:t>
      </w:r>
      <w:r w:rsidR="003C2DA2">
        <w:rPr>
          <w:rFonts w:ascii="Arial Narrow" w:hAnsi="Arial Narrow"/>
        </w:rPr>
        <w:t>income approach to value</w:t>
      </w:r>
      <w:r>
        <w:rPr>
          <w:rFonts w:ascii="Arial Narrow" w:hAnsi="Arial Narrow"/>
        </w:rPr>
        <w:t>.</w:t>
      </w:r>
    </w:p>
    <w:p w14:paraId="31373A37" w14:textId="0F929AAE" w:rsidR="000C0928" w:rsidRDefault="003C2DA2" w:rsidP="00863914">
      <w:pPr>
        <w:pStyle w:val="a3"/>
        <w:numPr>
          <w:ilvl w:val="0"/>
          <w:numId w:val="2"/>
        </w:numPr>
        <w:rPr>
          <w:rFonts w:ascii="Arial Narrow" w:hAnsi="Arial Narrow"/>
        </w:rPr>
      </w:pPr>
      <w:r>
        <w:rPr>
          <w:rFonts w:ascii="Arial Narrow" w:hAnsi="Arial Narrow"/>
        </w:rPr>
        <w:t>RICS review into investment valuations</w:t>
      </w:r>
      <w:r w:rsidR="005D246C">
        <w:rPr>
          <w:rFonts w:ascii="Arial Narrow" w:hAnsi="Arial Narrow"/>
        </w:rPr>
        <w:t>:</w:t>
      </w:r>
      <w:r>
        <w:rPr>
          <w:rFonts w:ascii="Arial Narrow" w:hAnsi="Arial Narrow"/>
        </w:rPr>
        <w:t xml:space="preserve"> have aligned their findings as such, </w:t>
      </w:r>
      <w:r w:rsidR="000C0928">
        <w:rPr>
          <w:rFonts w:ascii="Arial Narrow" w:hAnsi="Arial Narrow"/>
        </w:rPr>
        <w:t>but the valuer has valid reasons</w:t>
      </w:r>
      <w:r w:rsidR="00366329">
        <w:rPr>
          <w:rFonts w:ascii="Arial Narrow" w:hAnsi="Arial Narrow"/>
        </w:rPr>
        <w:t xml:space="preserve"> to </w:t>
      </w:r>
      <w:r w:rsidR="006A1E8D">
        <w:rPr>
          <w:rFonts w:ascii="Arial Narrow" w:hAnsi="Arial Narrow"/>
        </w:rPr>
        <w:t>question</w:t>
      </w:r>
      <w:r w:rsidR="00366329">
        <w:rPr>
          <w:rFonts w:ascii="Arial Narrow" w:hAnsi="Arial Narrow"/>
        </w:rPr>
        <w:t xml:space="preserve"> the criticism and want to hold onto the </w:t>
      </w:r>
      <w:commentRangeStart w:id="10"/>
      <w:r w:rsidR="00366329">
        <w:rPr>
          <w:rFonts w:ascii="Arial Narrow" w:hAnsi="Arial Narrow"/>
        </w:rPr>
        <w:t>capitalisation approach</w:t>
      </w:r>
      <w:commentRangeEnd w:id="10"/>
      <w:r w:rsidR="00A64EE8">
        <w:rPr>
          <w:rStyle w:val="ac"/>
        </w:rPr>
        <w:commentReference w:id="10"/>
      </w:r>
      <w:r w:rsidR="005D246C">
        <w:rPr>
          <w:rFonts w:ascii="Arial Narrow" w:hAnsi="Arial Narrow"/>
        </w:rPr>
        <w:t xml:space="preserve"> (the </w:t>
      </w:r>
      <w:r w:rsidR="006A1E8D">
        <w:rPr>
          <w:rFonts w:ascii="Arial Narrow" w:hAnsi="Arial Narrow"/>
        </w:rPr>
        <w:t>‘</w:t>
      </w:r>
      <w:proofErr w:type="spellStart"/>
      <w:r w:rsidR="005D246C">
        <w:rPr>
          <w:rFonts w:ascii="Arial Narrow" w:hAnsi="Arial Narrow"/>
        </w:rPr>
        <w:t>all risks</w:t>
      </w:r>
      <w:r w:rsidR="006A1E8D">
        <w:rPr>
          <w:rFonts w:ascii="Arial Narrow" w:hAnsi="Arial Narrow"/>
        </w:rPr>
        <w:t>’</w:t>
      </w:r>
      <w:proofErr w:type="spellEnd"/>
      <w:r w:rsidR="005D246C">
        <w:rPr>
          <w:rFonts w:ascii="Arial Narrow" w:hAnsi="Arial Narrow"/>
        </w:rPr>
        <w:t xml:space="preserve"> approach)</w:t>
      </w:r>
      <w:r w:rsidR="00366329">
        <w:rPr>
          <w:rFonts w:ascii="Arial Narrow" w:hAnsi="Arial Narrow"/>
        </w:rPr>
        <w:t>.</w:t>
      </w:r>
    </w:p>
    <w:p w14:paraId="7B1251CD" w14:textId="4B914AA2" w:rsidR="003C2DA2" w:rsidRDefault="005D246C" w:rsidP="00863914">
      <w:pPr>
        <w:pStyle w:val="a3"/>
        <w:numPr>
          <w:ilvl w:val="0"/>
          <w:numId w:val="2"/>
        </w:numPr>
        <w:rPr>
          <w:rFonts w:ascii="Arial Narrow" w:hAnsi="Arial Narrow"/>
        </w:rPr>
      </w:pPr>
      <w:r>
        <w:rPr>
          <w:rFonts w:ascii="Arial Narrow" w:hAnsi="Arial Narrow"/>
        </w:rPr>
        <w:t>Is the DCF the holy grail: t</w:t>
      </w:r>
      <w:r w:rsidR="003C2DA2">
        <w:rPr>
          <w:rFonts w:ascii="Arial Narrow" w:hAnsi="Arial Narrow"/>
        </w:rPr>
        <w:t xml:space="preserve">he valuer would </w:t>
      </w:r>
      <w:r w:rsidR="00366329">
        <w:rPr>
          <w:rFonts w:ascii="Arial Narrow" w:hAnsi="Arial Narrow"/>
        </w:rPr>
        <w:t xml:space="preserve">also </w:t>
      </w:r>
      <w:r w:rsidR="00DA5465">
        <w:rPr>
          <w:rFonts w:ascii="Arial Narrow" w:hAnsi="Arial Narrow"/>
        </w:rPr>
        <w:t>question</w:t>
      </w:r>
      <w:r w:rsidR="003C2DA2">
        <w:rPr>
          <w:rFonts w:ascii="Arial Narrow" w:hAnsi="Arial Narrow"/>
        </w:rPr>
        <w:t xml:space="preserve"> </w:t>
      </w:r>
      <w:r w:rsidR="00366329">
        <w:rPr>
          <w:rFonts w:ascii="Arial Narrow" w:hAnsi="Arial Narrow"/>
        </w:rPr>
        <w:t>the suggestion that a DCF is the solution to all the problems because</w:t>
      </w:r>
      <w:r w:rsidR="003C2DA2">
        <w:rPr>
          <w:rFonts w:ascii="Arial Narrow" w:hAnsi="Arial Narrow"/>
        </w:rPr>
        <w:t xml:space="preserve"> i) forecasts and assumptions can become divorced from reality</w:t>
      </w:r>
      <w:r w:rsidR="00366329">
        <w:rPr>
          <w:rFonts w:ascii="Arial Narrow" w:hAnsi="Arial Narrow"/>
        </w:rPr>
        <w:t xml:space="preserve"> (on the up and downside)</w:t>
      </w:r>
      <w:r w:rsidR="003C2DA2">
        <w:rPr>
          <w:rFonts w:ascii="Arial Narrow" w:hAnsi="Arial Narrow"/>
        </w:rPr>
        <w:t xml:space="preserve"> and ii) given the high proportion of value that terminal value contributes to </w:t>
      </w:r>
      <w:r w:rsidR="00366329">
        <w:rPr>
          <w:rFonts w:ascii="Arial Narrow" w:hAnsi="Arial Narrow"/>
        </w:rPr>
        <w:t xml:space="preserve">overall </w:t>
      </w:r>
      <w:r w:rsidR="003C2DA2">
        <w:rPr>
          <w:rFonts w:ascii="Arial Narrow" w:hAnsi="Arial Narrow"/>
        </w:rPr>
        <w:t>value</w:t>
      </w:r>
      <w:r w:rsidR="00366329">
        <w:rPr>
          <w:rFonts w:ascii="Arial Narrow" w:hAnsi="Arial Narrow"/>
        </w:rPr>
        <w:t xml:space="preserve"> (which relies on a capitalisation approach)</w:t>
      </w:r>
      <w:r w:rsidR="003C2DA2">
        <w:rPr>
          <w:rFonts w:ascii="Arial Narrow" w:hAnsi="Arial Narrow"/>
        </w:rPr>
        <w:t xml:space="preserve"> </w:t>
      </w:r>
      <w:r w:rsidR="000C0928">
        <w:rPr>
          <w:rFonts w:ascii="Arial Narrow" w:hAnsi="Arial Narrow"/>
        </w:rPr>
        <w:t xml:space="preserve">such a </w:t>
      </w:r>
      <w:r>
        <w:rPr>
          <w:rFonts w:ascii="Arial Narrow" w:hAnsi="Arial Narrow"/>
        </w:rPr>
        <w:t>suggestion</w:t>
      </w:r>
      <w:r w:rsidR="000C0928">
        <w:rPr>
          <w:rFonts w:ascii="Arial Narrow" w:hAnsi="Arial Narrow"/>
        </w:rPr>
        <w:t xml:space="preserve"> </w:t>
      </w:r>
      <w:r w:rsidR="00DA5465">
        <w:rPr>
          <w:rFonts w:ascii="Arial Narrow" w:hAnsi="Arial Narrow"/>
        </w:rPr>
        <w:t xml:space="preserve">could be </w:t>
      </w:r>
      <w:r w:rsidR="00412D11">
        <w:rPr>
          <w:rFonts w:ascii="Arial Narrow" w:hAnsi="Arial Narrow"/>
        </w:rPr>
        <w:t>perceived as</w:t>
      </w:r>
      <w:r w:rsidR="000C0928">
        <w:rPr>
          <w:rFonts w:ascii="Arial Narrow" w:hAnsi="Arial Narrow"/>
        </w:rPr>
        <w:t xml:space="preserve"> be</w:t>
      </w:r>
      <w:r w:rsidR="00412D11">
        <w:rPr>
          <w:rFonts w:ascii="Arial Narrow" w:hAnsi="Arial Narrow"/>
        </w:rPr>
        <w:t>ing</w:t>
      </w:r>
      <w:r w:rsidR="000C0928">
        <w:rPr>
          <w:rFonts w:ascii="Arial Narrow" w:hAnsi="Arial Narrow"/>
        </w:rPr>
        <w:t xml:space="preserve"> </w:t>
      </w:r>
      <w:r w:rsidR="00366329">
        <w:rPr>
          <w:rFonts w:ascii="Arial Narrow" w:hAnsi="Arial Narrow"/>
        </w:rPr>
        <w:t xml:space="preserve">overly </w:t>
      </w:r>
      <w:r w:rsidR="000C0928">
        <w:rPr>
          <w:rFonts w:ascii="Arial Narrow" w:hAnsi="Arial Narrow"/>
        </w:rPr>
        <w:t>hypocritical</w:t>
      </w:r>
      <w:r>
        <w:rPr>
          <w:rFonts w:ascii="Arial Narrow" w:hAnsi="Arial Narrow"/>
        </w:rPr>
        <w:t>.</w:t>
      </w:r>
    </w:p>
    <w:p w14:paraId="509CA8AB" w14:textId="2045E347" w:rsidR="00325110" w:rsidRDefault="00412D11" w:rsidP="00863914">
      <w:pPr>
        <w:pStyle w:val="a3"/>
        <w:numPr>
          <w:ilvl w:val="0"/>
          <w:numId w:val="2"/>
        </w:numPr>
        <w:rPr>
          <w:rFonts w:ascii="Arial Narrow" w:hAnsi="Arial Narrow"/>
        </w:rPr>
      </w:pPr>
      <w:r>
        <w:rPr>
          <w:rFonts w:ascii="Arial Narrow" w:hAnsi="Arial Narrow"/>
        </w:rPr>
        <w:t>‘</w:t>
      </w:r>
      <w:r w:rsidR="003C2DA2">
        <w:rPr>
          <w:rFonts w:ascii="Arial Narrow" w:hAnsi="Arial Narrow"/>
        </w:rPr>
        <w:t>Sophisticated</w:t>
      </w:r>
      <w:r>
        <w:rPr>
          <w:rFonts w:ascii="Arial Narrow" w:hAnsi="Arial Narrow"/>
        </w:rPr>
        <w:t>’</w:t>
      </w:r>
      <w:r w:rsidR="003C2DA2">
        <w:rPr>
          <w:rFonts w:ascii="Arial Narrow" w:hAnsi="Arial Narrow"/>
        </w:rPr>
        <w:t xml:space="preserve"> investors in l</w:t>
      </w:r>
      <w:r w:rsidR="00325110">
        <w:rPr>
          <w:rFonts w:ascii="Arial Narrow" w:hAnsi="Arial Narrow"/>
        </w:rPr>
        <w:t xml:space="preserve">isted markets price </w:t>
      </w:r>
      <w:commentRangeStart w:id="11"/>
      <w:r w:rsidR="00325110">
        <w:rPr>
          <w:rFonts w:ascii="Arial Narrow" w:hAnsi="Arial Narrow"/>
        </w:rPr>
        <w:t>discount rates using WACC</w:t>
      </w:r>
      <w:commentRangeEnd w:id="11"/>
      <w:r w:rsidR="000601DB">
        <w:rPr>
          <w:rStyle w:val="ac"/>
        </w:rPr>
        <w:commentReference w:id="11"/>
      </w:r>
      <w:r w:rsidR="003C2DA2">
        <w:rPr>
          <w:rFonts w:ascii="Arial Narrow" w:hAnsi="Arial Narrow"/>
        </w:rPr>
        <w:t>, valuers in the unlisted environment utilise transactions</w:t>
      </w:r>
      <w:r w:rsidR="005B23FE">
        <w:rPr>
          <w:rFonts w:ascii="Arial Narrow" w:hAnsi="Arial Narrow"/>
        </w:rPr>
        <w:t xml:space="preserve"> or alternate approaches</w:t>
      </w:r>
      <w:r w:rsidR="003C2DA2">
        <w:rPr>
          <w:rFonts w:ascii="Arial Narrow" w:hAnsi="Arial Narrow"/>
        </w:rPr>
        <w:t xml:space="preserve"> </w:t>
      </w:r>
      <w:r w:rsidR="005D246C">
        <w:rPr>
          <w:rFonts w:ascii="Arial Narrow" w:hAnsi="Arial Narrow"/>
        </w:rPr>
        <w:t xml:space="preserve">to determine discount rates … </w:t>
      </w:r>
      <w:r w:rsidR="003C2DA2">
        <w:rPr>
          <w:rFonts w:ascii="Arial Narrow" w:hAnsi="Arial Narrow"/>
        </w:rPr>
        <w:t>which fails to solve the problem</w:t>
      </w:r>
      <w:r w:rsidR="005D246C">
        <w:rPr>
          <w:rFonts w:ascii="Arial Narrow" w:hAnsi="Arial Narrow"/>
        </w:rPr>
        <w:t>.</w:t>
      </w:r>
    </w:p>
    <w:p w14:paraId="5407D5B2" w14:textId="640B89F7" w:rsidR="005E6B99" w:rsidRPr="005547A7" w:rsidRDefault="005E6B99" w:rsidP="00863914">
      <w:pPr>
        <w:pStyle w:val="a3"/>
        <w:numPr>
          <w:ilvl w:val="0"/>
          <w:numId w:val="2"/>
        </w:numPr>
        <w:rPr>
          <w:rFonts w:ascii="Arial Narrow" w:hAnsi="Arial Narrow"/>
        </w:rPr>
      </w:pPr>
      <w:r>
        <w:rPr>
          <w:rFonts w:ascii="Arial Narrow" w:hAnsi="Arial Narrow"/>
        </w:rPr>
        <w:t>Discount rates: arguably, the development of discount rates for a listed asset should reflect inputs from the listed environment.  Similarly, the development of discount rates for an unlisted asset should also reflect inputs from the unlisted environment.  Crossing the two creates a mismatch</w:t>
      </w:r>
      <w:r w:rsidR="005B23FE">
        <w:rPr>
          <w:rFonts w:ascii="Arial Narrow" w:hAnsi="Arial Narrow"/>
        </w:rPr>
        <w:t>, particularly in volatile markets</w:t>
      </w:r>
      <w:r>
        <w:rPr>
          <w:rFonts w:ascii="Arial Narrow" w:hAnsi="Arial Narrow"/>
        </w:rPr>
        <w:t xml:space="preserve">. </w:t>
      </w:r>
      <w:r w:rsidRPr="005E6B99">
        <w:rPr>
          <w:rFonts w:ascii="Arial Narrow" w:hAnsi="Arial Narrow"/>
          <w:b/>
          <w:bCs/>
        </w:rPr>
        <w:t xml:space="preserve">[THOUGHTS APPRECIATED ON THIS TOPIC, SPECIFICALLY REGARDING EQUITY RISK PREMIUM, BETA, RISK FREE RATE, DEBT TO EQUITY.  DO REAL ESTATE VALUERS ACROSS DIFFERENT MARKETS HAVE A PREFERENCE FOR TRANSACTIONS TO </w:t>
      </w:r>
      <w:r w:rsidRPr="005E6B99">
        <w:rPr>
          <w:rFonts w:ascii="Arial Narrow" w:hAnsi="Arial Narrow"/>
          <w:b/>
          <w:bCs/>
        </w:rPr>
        <w:lastRenderedPageBreak/>
        <w:t xml:space="preserve">INFER DISCOUNT RATES, OR DO THEY USE A CAPM/WACC VIEW OF THE WORLD.  WHY WOULD A VALUER VALIUNG AN </w:t>
      </w:r>
      <w:commentRangeStart w:id="12"/>
      <w:r w:rsidRPr="005E6B99">
        <w:rPr>
          <w:rFonts w:ascii="Arial Narrow" w:hAnsi="Arial Narrow"/>
          <w:b/>
          <w:bCs/>
        </w:rPr>
        <w:t xml:space="preserve">UNLISTED ASSET UTILISE A BETA DERIVED FROM A LISTED </w:t>
      </w:r>
      <w:commentRangeEnd w:id="12"/>
      <w:r w:rsidR="00B6461C">
        <w:rPr>
          <w:rStyle w:val="ac"/>
        </w:rPr>
        <w:commentReference w:id="12"/>
      </w:r>
      <w:r w:rsidRPr="005E6B99">
        <w:rPr>
          <w:rFonts w:ascii="Arial Narrow" w:hAnsi="Arial Narrow"/>
          <w:b/>
          <w:bCs/>
        </w:rPr>
        <w:t xml:space="preserve">ENVIRONMENT?  IS THERE TRANSACTION EVIDENCE THAT SUGGESTS </w:t>
      </w:r>
      <w:commentRangeStart w:id="13"/>
      <w:r w:rsidRPr="005E6B99">
        <w:rPr>
          <w:rFonts w:ascii="Arial Narrow" w:hAnsi="Arial Narrow"/>
          <w:b/>
          <w:bCs/>
        </w:rPr>
        <w:t>PRIVATE ASSETS TRADE AT A LOWER EQUITY RISK PREMIUM THAN THAT INFERRED BY LISTED MARKETS</w:t>
      </w:r>
      <w:commentRangeEnd w:id="13"/>
      <w:r w:rsidR="00B6461C">
        <w:rPr>
          <w:rStyle w:val="ac"/>
        </w:rPr>
        <w:commentReference w:id="13"/>
      </w:r>
      <w:r w:rsidRPr="005E6B99">
        <w:rPr>
          <w:rFonts w:ascii="Arial Narrow" w:hAnsi="Arial Narrow"/>
          <w:b/>
          <w:bCs/>
        </w:rPr>
        <w:t>?]</w:t>
      </w:r>
    </w:p>
    <w:p w14:paraId="5865FB73" w14:textId="28826EE2" w:rsidR="00E921BB" w:rsidRDefault="00E921BB" w:rsidP="003C7490">
      <w:pPr>
        <w:pStyle w:val="1"/>
        <w:numPr>
          <w:ilvl w:val="0"/>
          <w:numId w:val="7"/>
        </w:numPr>
        <w:rPr>
          <w:rFonts w:ascii="Arial Narrow" w:hAnsi="Arial Narrow"/>
          <w:b/>
          <w:bCs/>
          <w:color w:val="000000" w:themeColor="text1"/>
          <w:sz w:val="22"/>
          <w:szCs w:val="22"/>
        </w:rPr>
      </w:pPr>
      <w:bookmarkStart w:id="14" w:name="_Toc134193127"/>
      <w:r w:rsidRPr="0026757D">
        <w:rPr>
          <w:rFonts w:ascii="Arial Narrow" w:hAnsi="Arial Narrow"/>
          <w:b/>
          <w:bCs/>
          <w:color w:val="000000" w:themeColor="text1"/>
          <w:sz w:val="22"/>
          <w:szCs w:val="22"/>
        </w:rPr>
        <w:t>How do unlisted asset owners think during volatile times, and does this collide with the definition of value?</w:t>
      </w:r>
      <w:bookmarkEnd w:id="14"/>
    </w:p>
    <w:p w14:paraId="1FE9F5FB" w14:textId="77777777" w:rsidR="0026757D" w:rsidRPr="0026757D" w:rsidRDefault="0026757D" w:rsidP="0026757D"/>
    <w:p w14:paraId="19015F12" w14:textId="72968C93" w:rsidR="00E921BB" w:rsidRPr="005D246C" w:rsidRDefault="00E921BB" w:rsidP="005D246C">
      <w:pPr>
        <w:pStyle w:val="a3"/>
        <w:numPr>
          <w:ilvl w:val="0"/>
          <w:numId w:val="2"/>
        </w:numPr>
        <w:rPr>
          <w:rFonts w:ascii="Arial Narrow" w:hAnsi="Arial Narrow"/>
        </w:rPr>
      </w:pPr>
      <w:r>
        <w:rPr>
          <w:rFonts w:ascii="Arial Narrow" w:hAnsi="Arial Narrow"/>
        </w:rPr>
        <w:t xml:space="preserve">Unlisted asset owners quite often think with a </w:t>
      </w:r>
      <w:proofErr w:type="gramStart"/>
      <w:r>
        <w:rPr>
          <w:rFonts w:ascii="Arial Narrow" w:hAnsi="Arial Narrow"/>
        </w:rPr>
        <w:t>longer term</w:t>
      </w:r>
      <w:proofErr w:type="gramEnd"/>
      <w:r>
        <w:rPr>
          <w:rFonts w:ascii="Arial Narrow" w:hAnsi="Arial Narrow"/>
        </w:rPr>
        <w:t xml:space="preserve"> horizon</w:t>
      </w:r>
      <w:r w:rsidR="005D246C">
        <w:rPr>
          <w:rFonts w:ascii="Arial Narrow" w:hAnsi="Arial Narrow"/>
        </w:rPr>
        <w:t>, t</w:t>
      </w:r>
      <w:r w:rsidRPr="005D246C">
        <w:rPr>
          <w:rFonts w:ascii="Arial Narrow" w:hAnsi="Arial Narrow"/>
        </w:rPr>
        <w:t>hey accept the illiquidity of the asset class when making the investment</w:t>
      </w:r>
      <w:r w:rsidR="005D246C">
        <w:rPr>
          <w:rFonts w:ascii="Arial Narrow" w:hAnsi="Arial Narrow"/>
        </w:rPr>
        <w:t>, and this is p</w:t>
      </w:r>
      <w:r w:rsidRPr="005D246C">
        <w:rPr>
          <w:rFonts w:ascii="Arial Narrow" w:hAnsi="Arial Narrow"/>
        </w:rPr>
        <w:t>articularly evident with</w:t>
      </w:r>
      <w:r w:rsidR="005E6B99">
        <w:rPr>
          <w:rFonts w:ascii="Arial Narrow" w:hAnsi="Arial Narrow"/>
        </w:rPr>
        <w:t xml:space="preserve"> owners of</w:t>
      </w:r>
      <w:r w:rsidRPr="005D246C">
        <w:rPr>
          <w:rFonts w:ascii="Arial Narrow" w:hAnsi="Arial Narrow"/>
        </w:rPr>
        <w:t xml:space="preserve"> ‘generational’ </w:t>
      </w:r>
      <w:r w:rsidR="005E6B99">
        <w:rPr>
          <w:rFonts w:ascii="Arial Narrow" w:hAnsi="Arial Narrow"/>
        </w:rPr>
        <w:t xml:space="preserve">or ‘once-in-a-lifetime’ </w:t>
      </w:r>
      <w:r w:rsidRPr="005D246C">
        <w:rPr>
          <w:rFonts w:ascii="Arial Narrow" w:hAnsi="Arial Narrow"/>
        </w:rPr>
        <w:t>asse</w:t>
      </w:r>
      <w:r w:rsidR="005E6B99">
        <w:rPr>
          <w:rFonts w:ascii="Arial Narrow" w:hAnsi="Arial Narrow"/>
        </w:rPr>
        <w:t>t</w:t>
      </w:r>
      <w:r w:rsidRPr="005D246C">
        <w:rPr>
          <w:rFonts w:ascii="Arial Narrow" w:hAnsi="Arial Narrow"/>
        </w:rPr>
        <w:t>s</w:t>
      </w:r>
      <w:r w:rsidR="005D246C">
        <w:rPr>
          <w:rFonts w:ascii="Arial Narrow" w:hAnsi="Arial Narrow"/>
        </w:rPr>
        <w:t>.</w:t>
      </w:r>
    </w:p>
    <w:p w14:paraId="255BA03A" w14:textId="72227B54" w:rsidR="00325110" w:rsidRDefault="005D246C" w:rsidP="00E921BB">
      <w:pPr>
        <w:pStyle w:val="a3"/>
        <w:numPr>
          <w:ilvl w:val="0"/>
          <w:numId w:val="2"/>
        </w:numPr>
        <w:rPr>
          <w:rFonts w:ascii="Arial Narrow" w:hAnsi="Arial Narrow"/>
        </w:rPr>
      </w:pPr>
      <w:r>
        <w:rPr>
          <w:rFonts w:ascii="Arial Narrow" w:hAnsi="Arial Narrow"/>
        </w:rPr>
        <w:t>In volatile markets</w:t>
      </w:r>
      <w:r w:rsidR="00741A0D">
        <w:rPr>
          <w:rFonts w:ascii="Arial Narrow" w:hAnsi="Arial Narrow"/>
        </w:rPr>
        <w:t>, we can observe a sales environment that c</w:t>
      </w:r>
      <w:r w:rsidR="00325110">
        <w:rPr>
          <w:rFonts w:ascii="Arial Narrow" w:hAnsi="Arial Narrow"/>
        </w:rPr>
        <w:t>reates a bid-ask spread</w:t>
      </w:r>
      <w:r w:rsidR="00741A0D">
        <w:rPr>
          <w:rFonts w:ascii="Arial Narrow" w:hAnsi="Arial Narrow"/>
        </w:rPr>
        <w:t xml:space="preserve"> (</w:t>
      </w:r>
      <w:proofErr w:type="spellStart"/>
      <w:r w:rsidR="00741A0D">
        <w:rPr>
          <w:rFonts w:ascii="Arial Narrow" w:hAnsi="Arial Narrow"/>
        </w:rPr>
        <w:t>ie</w:t>
      </w:r>
      <w:proofErr w:type="spellEnd"/>
      <w:r w:rsidR="00741A0D">
        <w:rPr>
          <w:rFonts w:ascii="Arial Narrow" w:hAnsi="Arial Narrow"/>
        </w:rPr>
        <w:t>. the seller wants 15% more than the highest bidder is willing to pay).  This is an example</w:t>
      </w:r>
      <w:r w:rsidR="00325110">
        <w:rPr>
          <w:rFonts w:ascii="Arial Narrow" w:hAnsi="Arial Narrow"/>
        </w:rPr>
        <w:t xml:space="preserve"> whereby market participants can’t meet</w:t>
      </w:r>
      <w:r w:rsidR="00FE68C6">
        <w:rPr>
          <w:rFonts w:ascii="Arial Narrow" w:hAnsi="Arial Narrow"/>
        </w:rPr>
        <w:t xml:space="preserve"> </w:t>
      </w:r>
      <w:proofErr w:type="gramStart"/>
      <w:r w:rsidR="00FE68C6">
        <w:rPr>
          <w:rFonts w:ascii="Arial Narrow" w:hAnsi="Arial Narrow"/>
        </w:rPr>
        <w:t>and in reality</w:t>
      </w:r>
      <w:proofErr w:type="gramEnd"/>
      <w:r w:rsidR="00FE68C6">
        <w:rPr>
          <w:rFonts w:ascii="Arial Narrow" w:hAnsi="Arial Narrow"/>
        </w:rPr>
        <w:t xml:space="preserve"> (</w:t>
      </w:r>
      <w:proofErr w:type="spellStart"/>
      <w:r w:rsidR="00FE68C6">
        <w:rPr>
          <w:rFonts w:ascii="Arial Narrow" w:hAnsi="Arial Narrow"/>
        </w:rPr>
        <w:t>ie</w:t>
      </w:r>
      <w:proofErr w:type="spellEnd"/>
      <w:r w:rsidR="00FE68C6">
        <w:rPr>
          <w:rFonts w:ascii="Arial Narrow" w:hAnsi="Arial Narrow"/>
        </w:rPr>
        <w:t>. real life)</w:t>
      </w:r>
      <w:r w:rsidR="00741A0D">
        <w:rPr>
          <w:rFonts w:ascii="Arial Narrow" w:hAnsi="Arial Narrow"/>
        </w:rPr>
        <w:t>, the seller will often just ride out the volatility and wait for the right time to sell (time and circumstances permitting).</w:t>
      </w:r>
    </w:p>
    <w:p w14:paraId="3EC24046" w14:textId="4890780E" w:rsidR="00741A0D" w:rsidRDefault="00FE68C6" w:rsidP="00E921BB">
      <w:pPr>
        <w:pStyle w:val="a3"/>
        <w:numPr>
          <w:ilvl w:val="0"/>
          <w:numId w:val="2"/>
        </w:numPr>
        <w:rPr>
          <w:rFonts w:ascii="Arial Narrow" w:hAnsi="Arial Narrow"/>
        </w:rPr>
      </w:pPr>
      <w:r>
        <w:rPr>
          <w:rFonts w:ascii="Arial Narrow" w:hAnsi="Arial Narrow"/>
        </w:rPr>
        <w:t>So … if a valuation is recorded at 15% above the highest bidders offer</w:t>
      </w:r>
      <w:r w:rsidR="009D014C">
        <w:rPr>
          <w:rFonts w:ascii="Arial Narrow" w:hAnsi="Arial Narrow"/>
        </w:rPr>
        <w:t xml:space="preserve"> after proper marketing</w:t>
      </w:r>
      <w:r>
        <w:rPr>
          <w:rFonts w:ascii="Arial Narrow" w:hAnsi="Arial Narrow"/>
        </w:rPr>
        <w:t>, does this mean</w:t>
      </w:r>
      <w:r w:rsidR="00741A0D">
        <w:rPr>
          <w:rFonts w:ascii="Arial Narrow" w:hAnsi="Arial Narrow"/>
        </w:rPr>
        <w:t xml:space="preserve"> that </w:t>
      </w:r>
      <w:r>
        <w:rPr>
          <w:rFonts w:ascii="Arial Narrow" w:hAnsi="Arial Narrow"/>
        </w:rPr>
        <w:t xml:space="preserve">it is </w:t>
      </w:r>
      <w:r w:rsidR="00741A0D">
        <w:rPr>
          <w:rFonts w:ascii="Arial Narrow" w:hAnsi="Arial Narrow"/>
        </w:rPr>
        <w:t>overstated 15%</w:t>
      </w:r>
      <w:r>
        <w:rPr>
          <w:rFonts w:ascii="Arial Narrow" w:hAnsi="Arial Narrow"/>
        </w:rPr>
        <w:t xml:space="preserve">?  Or does this mean that </w:t>
      </w:r>
      <w:r w:rsidR="00741A0D">
        <w:rPr>
          <w:rFonts w:ascii="Arial Narrow" w:hAnsi="Arial Narrow"/>
        </w:rPr>
        <w:t>the true value lies somewhere in between, and perhaps this evidence can be a good example of an indicator or sentiment</w:t>
      </w:r>
      <w:r>
        <w:rPr>
          <w:rFonts w:ascii="Arial Narrow" w:hAnsi="Arial Narrow"/>
        </w:rPr>
        <w:t>, but not necessarily value?</w:t>
      </w:r>
      <w:r w:rsidR="00A6374C">
        <w:rPr>
          <w:rFonts w:ascii="Arial Narrow" w:hAnsi="Arial Narrow"/>
        </w:rPr>
        <w:t xml:space="preserve"> </w:t>
      </w:r>
      <w:r w:rsidR="00A6374C" w:rsidRPr="009D014C">
        <w:rPr>
          <w:rFonts w:ascii="Arial Narrow" w:hAnsi="Arial Narrow"/>
          <w:b/>
          <w:bCs/>
        </w:rPr>
        <w:t>[WOULD BE PARTICULARLY KEEN ON EVERYONES THOUGHTS HERE</w:t>
      </w:r>
      <w:r w:rsidRPr="009D014C">
        <w:rPr>
          <w:rFonts w:ascii="Arial Narrow" w:hAnsi="Arial Narrow"/>
          <w:b/>
          <w:bCs/>
        </w:rPr>
        <w:t xml:space="preserve"> GIVEN THE MARKET VALUE CONCEPTUAL FRAMEWORK</w:t>
      </w:r>
      <w:r w:rsidR="009D014C" w:rsidRPr="009D014C">
        <w:rPr>
          <w:rFonts w:ascii="Arial Narrow" w:hAnsi="Arial Narrow"/>
          <w:b/>
          <w:bCs/>
        </w:rPr>
        <w:t>, SEE MY THOUGHTS BELOW</w:t>
      </w:r>
      <w:r w:rsidRPr="009D014C">
        <w:rPr>
          <w:rFonts w:ascii="Arial Narrow" w:hAnsi="Arial Narrow"/>
          <w:b/>
          <w:bCs/>
        </w:rPr>
        <w:t>]</w:t>
      </w:r>
    </w:p>
    <w:p w14:paraId="162B1B4D" w14:textId="36FD5E37" w:rsidR="00741A0D" w:rsidRDefault="00FE68C6" w:rsidP="00A6374C">
      <w:pPr>
        <w:pStyle w:val="a3"/>
        <w:numPr>
          <w:ilvl w:val="0"/>
          <w:numId w:val="2"/>
        </w:numPr>
        <w:rPr>
          <w:rFonts w:ascii="Arial Narrow" w:hAnsi="Arial Narrow"/>
        </w:rPr>
      </w:pPr>
      <w:r>
        <w:rPr>
          <w:rFonts w:ascii="Arial Narrow" w:hAnsi="Arial Narrow"/>
        </w:rPr>
        <w:t>T</w:t>
      </w:r>
      <w:r w:rsidR="00741A0D">
        <w:rPr>
          <w:rFonts w:ascii="Arial Narrow" w:hAnsi="Arial Narrow"/>
        </w:rPr>
        <w:t>he valuer must acutely remind themselves that the definition of value isn’t to consider a forced seller</w:t>
      </w:r>
      <w:r w:rsidR="00A6374C">
        <w:rPr>
          <w:rFonts w:ascii="Arial Narrow" w:hAnsi="Arial Narrow"/>
        </w:rPr>
        <w:t xml:space="preserve">, </w:t>
      </w:r>
      <w:r w:rsidR="00741A0D">
        <w:rPr>
          <w:rFonts w:ascii="Arial Narrow" w:hAnsi="Arial Narrow"/>
        </w:rPr>
        <w:t>an overly willing seller</w:t>
      </w:r>
      <w:r w:rsidR="00A6374C">
        <w:rPr>
          <w:rFonts w:ascii="Arial Narrow" w:hAnsi="Arial Narrow"/>
        </w:rPr>
        <w:t xml:space="preserve"> or a seller that is compelled to sell. </w:t>
      </w:r>
      <w:r w:rsidR="00741A0D">
        <w:rPr>
          <w:rFonts w:ascii="Arial Narrow" w:hAnsi="Arial Narrow"/>
        </w:rPr>
        <w:t xml:space="preserve"> </w:t>
      </w:r>
      <w:r w:rsidR="00A6374C">
        <w:rPr>
          <w:rFonts w:ascii="Arial Narrow" w:hAnsi="Arial Narrow"/>
        </w:rPr>
        <w:t>U</w:t>
      </w:r>
      <w:r w:rsidR="00741A0D">
        <w:rPr>
          <w:rFonts w:ascii="Arial Narrow" w:hAnsi="Arial Narrow"/>
        </w:rPr>
        <w:t xml:space="preserve">nder the definition of market </w:t>
      </w:r>
      <w:proofErr w:type="gramStart"/>
      <w:r w:rsidR="00741A0D">
        <w:rPr>
          <w:rFonts w:ascii="Arial Narrow" w:hAnsi="Arial Narrow"/>
        </w:rPr>
        <w:t>value</w:t>
      </w:r>
      <w:proofErr w:type="gramEnd"/>
      <w:r w:rsidR="00741A0D">
        <w:rPr>
          <w:rFonts w:ascii="Arial Narrow" w:hAnsi="Arial Narrow"/>
        </w:rPr>
        <w:t xml:space="preserve"> they are required to consider a seller that </w:t>
      </w:r>
      <w:r w:rsidR="00A6374C">
        <w:rPr>
          <w:rFonts w:ascii="Arial Narrow" w:hAnsi="Arial Narrow"/>
        </w:rPr>
        <w:t>“</w:t>
      </w:r>
      <w:r w:rsidR="00A6374C" w:rsidRPr="00A6374C">
        <w:rPr>
          <w:rFonts w:ascii="Arial Narrow" w:hAnsi="Arial Narrow"/>
        </w:rPr>
        <w:t xml:space="preserve">is </w:t>
      </w:r>
      <w:r w:rsidR="00A6374C" w:rsidRPr="009D014C">
        <w:rPr>
          <w:rFonts w:ascii="Arial Narrow" w:hAnsi="Arial Narrow"/>
          <w:u w:val="single"/>
        </w:rPr>
        <w:t>neither an over-eager nor a forced seller</w:t>
      </w:r>
      <w:r w:rsidR="00A6374C" w:rsidRPr="00A6374C">
        <w:rPr>
          <w:rFonts w:ascii="Arial Narrow" w:hAnsi="Arial Narrow"/>
        </w:rPr>
        <w:t xml:space="preserve"> prepared</w:t>
      </w:r>
      <w:r w:rsidR="00A6374C">
        <w:rPr>
          <w:rFonts w:ascii="Arial Narrow" w:hAnsi="Arial Narrow"/>
        </w:rPr>
        <w:t xml:space="preserve"> </w:t>
      </w:r>
      <w:r w:rsidR="00A6374C" w:rsidRPr="00A6374C">
        <w:rPr>
          <w:rFonts w:ascii="Arial Narrow" w:hAnsi="Arial Narrow"/>
        </w:rPr>
        <w:t xml:space="preserve">to sell at any price, </w:t>
      </w:r>
      <w:r w:rsidR="00A6374C" w:rsidRPr="009D014C">
        <w:rPr>
          <w:rFonts w:ascii="Arial Narrow" w:hAnsi="Arial Narrow"/>
          <w:u w:val="single"/>
        </w:rPr>
        <w:t>nor one prepared to hold out for a price</w:t>
      </w:r>
      <w:r w:rsidR="00A6374C" w:rsidRPr="00A6374C">
        <w:rPr>
          <w:rFonts w:ascii="Arial Narrow" w:hAnsi="Arial Narrow"/>
        </w:rPr>
        <w:t xml:space="preserve"> not</w:t>
      </w:r>
      <w:r w:rsidR="00A6374C">
        <w:rPr>
          <w:rFonts w:ascii="Arial Narrow" w:hAnsi="Arial Narrow"/>
        </w:rPr>
        <w:t xml:space="preserve"> </w:t>
      </w:r>
      <w:r w:rsidR="00A6374C" w:rsidRPr="00A6374C">
        <w:rPr>
          <w:rFonts w:ascii="Arial Narrow" w:hAnsi="Arial Narrow"/>
        </w:rPr>
        <w:t xml:space="preserve">considered reasonable in the current market. The willing seller </w:t>
      </w:r>
      <w:r w:rsidR="00A6374C" w:rsidRPr="009D014C">
        <w:rPr>
          <w:rFonts w:ascii="Arial Narrow" w:hAnsi="Arial Narrow"/>
          <w:u w:val="single"/>
        </w:rPr>
        <w:t>is motivated to sell the asset</w:t>
      </w:r>
      <w:r w:rsidR="00A6374C" w:rsidRPr="00A6374C">
        <w:rPr>
          <w:rFonts w:ascii="Arial Narrow" w:hAnsi="Arial Narrow"/>
        </w:rPr>
        <w:t xml:space="preserve"> at market terms for </w:t>
      </w:r>
      <w:r w:rsidR="00A6374C" w:rsidRPr="009D014C">
        <w:rPr>
          <w:rFonts w:ascii="Arial Narrow" w:hAnsi="Arial Narrow"/>
          <w:u w:val="single"/>
        </w:rPr>
        <w:t>the best price attainable</w:t>
      </w:r>
      <w:r w:rsidR="00A6374C">
        <w:rPr>
          <w:rFonts w:ascii="Arial Narrow" w:hAnsi="Arial Narrow"/>
        </w:rPr>
        <w:t xml:space="preserve"> </w:t>
      </w:r>
      <w:r w:rsidR="00A6374C" w:rsidRPr="00A6374C">
        <w:rPr>
          <w:rFonts w:ascii="Arial Narrow" w:hAnsi="Arial Narrow"/>
        </w:rPr>
        <w:t>in the open market after proper marketing</w:t>
      </w:r>
      <w:r w:rsidR="00A6374C">
        <w:rPr>
          <w:rFonts w:ascii="Arial Narrow" w:hAnsi="Arial Narrow"/>
        </w:rPr>
        <w:t>,</w:t>
      </w:r>
      <w:r w:rsidR="00A6374C" w:rsidRPr="00A6374C">
        <w:t xml:space="preserve"> </w:t>
      </w:r>
      <w:r w:rsidR="00A6374C" w:rsidRPr="00FE68C6">
        <w:rPr>
          <w:rFonts w:ascii="Arial Narrow" w:hAnsi="Arial Narrow"/>
          <w:u w:val="single"/>
        </w:rPr>
        <w:t>whatever that price may be</w:t>
      </w:r>
      <w:r w:rsidR="00A6374C" w:rsidRPr="00A6374C">
        <w:rPr>
          <w:rFonts w:ascii="Arial Narrow" w:hAnsi="Arial Narrow"/>
        </w:rPr>
        <w:t>.</w:t>
      </w:r>
      <w:r w:rsidR="00A6374C">
        <w:rPr>
          <w:rFonts w:ascii="Arial Narrow" w:hAnsi="Arial Narrow"/>
        </w:rPr>
        <w:t>”</w:t>
      </w:r>
    </w:p>
    <w:p w14:paraId="26B569C0" w14:textId="21817398" w:rsidR="00A6374C" w:rsidRDefault="00FE68C6" w:rsidP="00A6374C">
      <w:pPr>
        <w:pStyle w:val="a3"/>
        <w:numPr>
          <w:ilvl w:val="0"/>
          <w:numId w:val="2"/>
        </w:numPr>
        <w:rPr>
          <w:rFonts w:ascii="Arial Narrow" w:hAnsi="Arial Narrow"/>
        </w:rPr>
      </w:pPr>
      <w:r>
        <w:rPr>
          <w:rFonts w:ascii="Arial Narrow" w:hAnsi="Arial Narrow"/>
        </w:rPr>
        <w:t>Also i</w:t>
      </w:r>
      <w:r w:rsidR="00A6374C">
        <w:rPr>
          <w:rFonts w:ascii="Arial Narrow" w:hAnsi="Arial Narrow"/>
        </w:rPr>
        <w:t>mportantly, “</w:t>
      </w:r>
      <w:r w:rsidR="00A6374C" w:rsidRPr="00A6374C">
        <w:rPr>
          <w:rFonts w:ascii="Arial Narrow" w:hAnsi="Arial Narrow"/>
        </w:rPr>
        <w:t>Prudence is assessed by referring to the state of the market at the</w:t>
      </w:r>
      <w:r w:rsidR="00A6374C">
        <w:rPr>
          <w:rFonts w:ascii="Arial Narrow" w:hAnsi="Arial Narrow"/>
        </w:rPr>
        <w:t xml:space="preserve"> </w:t>
      </w:r>
      <w:r w:rsidR="00A6374C" w:rsidRPr="00A6374C">
        <w:rPr>
          <w:rFonts w:ascii="Arial Narrow" w:hAnsi="Arial Narrow"/>
        </w:rPr>
        <w:t>valuation date, not with the benefit of hindsight at some later date. For</w:t>
      </w:r>
      <w:r w:rsidR="00A6374C">
        <w:rPr>
          <w:rFonts w:ascii="Arial Narrow" w:hAnsi="Arial Narrow"/>
        </w:rPr>
        <w:t xml:space="preserve"> </w:t>
      </w:r>
      <w:r w:rsidR="00A6374C" w:rsidRPr="00A6374C">
        <w:rPr>
          <w:rFonts w:ascii="Arial Narrow" w:hAnsi="Arial Narrow"/>
        </w:rPr>
        <w:t xml:space="preserve">example, </w:t>
      </w:r>
      <w:r w:rsidR="00A6374C" w:rsidRPr="00FE68C6">
        <w:rPr>
          <w:rFonts w:ascii="Arial Narrow" w:hAnsi="Arial Narrow"/>
          <w:u w:val="single"/>
        </w:rPr>
        <w:t>it is not necessarily imprudent for a seller to sell assets in a market with falling prices at a price that is lower than previous market levels</w:t>
      </w:r>
      <w:r w:rsidR="00A6374C" w:rsidRPr="00A6374C">
        <w:rPr>
          <w:rFonts w:ascii="Arial Narrow" w:hAnsi="Arial Narrow"/>
        </w:rPr>
        <w:t>. In such cases, as is true for other exchanges in markets with</w:t>
      </w:r>
      <w:r w:rsidR="00A6374C">
        <w:rPr>
          <w:rFonts w:ascii="Arial Narrow" w:hAnsi="Arial Narrow"/>
        </w:rPr>
        <w:t xml:space="preserve"> </w:t>
      </w:r>
      <w:r w:rsidR="00A6374C" w:rsidRPr="00A6374C">
        <w:rPr>
          <w:rFonts w:ascii="Arial Narrow" w:hAnsi="Arial Narrow"/>
        </w:rPr>
        <w:t>changing prices, the prudent buyer or seller will act in accordance with</w:t>
      </w:r>
      <w:r w:rsidR="00A6374C">
        <w:rPr>
          <w:rFonts w:ascii="Arial Narrow" w:hAnsi="Arial Narrow"/>
        </w:rPr>
        <w:t xml:space="preserve"> </w:t>
      </w:r>
      <w:r w:rsidR="00A6374C" w:rsidRPr="00FE68C6">
        <w:rPr>
          <w:rFonts w:ascii="Arial Narrow" w:hAnsi="Arial Narrow"/>
          <w:u w:val="single"/>
        </w:rPr>
        <w:t>the best market information available at the time</w:t>
      </w:r>
      <w:r w:rsidR="00A6374C" w:rsidRPr="00A6374C">
        <w:rPr>
          <w:rFonts w:ascii="Arial Narrow" w:hAnsi="Arial Narrow"/>
        </w:rPr>
        <w:t>.</w:t>
      </w:r>
      <w:r w:rsidR="00A6374C">
        <w:rPr>
          <w:rFonts w:ascii="Arial Narrow" w:hAnsi="Arial Narrow"/>
        </w:rPr>
        <w:t>”</w:t>
      </w:r>
    </w:p>
    <w:p w14:paraId="7E3C49A2" w14:textId="3805BA33" w:rsidR="002621D4" w:rsidRDefault="002621D4" w:rsidP="00A6374C">
      <w:pPr>
        <w:pStyle w:val="a3"/>
        <w:numPr>
          <w:ilvl w:val="0"/>
          <w:numId w:val="2"/>
        </w:numPr>
        <w:rPr>
          <w:rFonts w:ascii="Arial Narrow" w:hAnsi="Arial Narrow"/>
        </w:rPr>
      </w:pPr>
      <w:r>
        <w:rPr>
          <w:rFonts w:ascii="Arial Narrow" w:hAnsi="Arial Narrow"/>
        </w:rPr>
        <w:t xml:space="preserve">As such, </w:t>
      </w:r>
      <w:proofErr w:type="gramStart"/>
      <w:r>
        <w:rPr>
          <w:rFonts w:ascii="Arial Narrow" w:hAnsi="Arial Narrow"/>
        </w:rPr>
        <w:t>despite the fact that</w:t>
      </w:r>
      <w:proofErr w:type="gramEnd"/>
      <w:r>
        <w:rPr>
          <w:rFonts w:ascii="Arial Narrow" w:hAnsi="Arial Narrow"/>
        </w:rPr>
        <w:t xml:space="preserve"> in reality, the seller will just ride out the volatility and wait for the right time to sell (time and circumstances permitting), this isn’t an option that can be considered by the valuer.  The valuer must hypothesise </w:t>
      </w:r>
      <w:r w:rsidR="009D014C">
        <w:rPr>
          <w:rFonts w:ascii="Arial Narrow" w:hAnsi="Arial Narrow"/>
        </w:rPr>
        <w:t>“</w:t>
      </w:r>
      <w:r>
        <w:rPr>
          <w:rFonts w:ascii="Arial Narrow" w:hAnsi="Arial Narrow"/>
        </w:rPr>
        <w:t>an estimated amount for which an asset or liability should exchange</w:t>
      </w:r>
      <w:r w:rsidR="009D014C">
        <w:rPr>
          <w:rFonts w:ascii="Arial Narrow" w:hAnsi="Arial Narrow"/>
        </w:rPr>
        <w:t>”</w:t>
      </w:r>
      <w:r>
        <w:rPr>
          <w:rFonts w:ascii="Arial Narrow" w:hAnsi="Arial Narrow"/>
        </w:rPr>
        <w:t>.</w:t>
      </w:r>
    </w:p>
    <w:p w14:paraId="2158F67F" w14:textId="3A14C2CF" w:rsidR="009D014C" w:rsidRDefault="002621D4" w:rsidP="009D014C">
      <w:pPr>
        <w:pStyle w:val="a3"/>
        <w:numPr>
          <w:ilvl w:val="0"/>
          <w:numId w:val="2"/>
        </w:numPr>
        <w:rPr>
          <w:rFonts w:ascii="Arial Narrow" w:hAnsi="Arial Narrow"/>
        </w:rPr>
      </w:pPr>
      <w:r>
        <w:rPr>
          <w:rFonts w:ascii="Arial Narrow" w:hAnsi="Arial Narrow"/>
        </w:rPr>
        <w:t>Having consideration to listed and unlisted markets: “</w:t>
      </w:r>
      <w:r w:rsidRPr="002621D4">
        <w:rPr>
          <w:rFonts w:ascii="Arial Narrow" w:hAnsi="Arial Narrow"/>
        </w:rPr>
        <w:t xml:space="preserve">The market in which the asset is presumed exposed for sale is </w:t>
      </w:r>
      <w:r w:rsidRPr="002621D4">
        <w:rPr>
          <w:rFonts w:ascii="Arial Narrow" w:hAnsi="Arial Narrow"/>
          <w:u w:val="single"/>
        </w:rPr>
        <w:t>the one in which the asset notionally being exchanged is normally exchanged</w:t>
      </w:r>
      <w:r>
        <w:rPr>
          <w:rFonts w:ascii="Arial Narrow" w:hAnsi="Arial Narrow"/>
        </w:rPr>
        <w:t xml:space="preserve">.”  </w:t>
      </w:r>
      <w:proofErr w:type="gramStart"/>
      <w:r>
        <w:rPr>
          <w:rFonts w:ascii="Arial Narrow" w:hAnsi="Arial Narrow"/>
        </w:rPr>
        <w:t>So</w:t>
      </w:r>
      <w:proofErr w:type="gramEnd"/>
      <w:r>
        <w:rPr>
          <w:rFonts w:ascii="Arial Narrow" w:hAnsi="Arial Narrow"/>
        </w:rPr>
        <w:t xml:space="preserve"> in a valuation sense, there is a very real possibility that values displayed by listed and unlisted markets may diverge.  </w:t>
      </w:r>
      <w:commentRangeStart w:id="15"/>
      <w:r>
        <w:rPr>
          <w:rFonts w:ascii="Arial Narrow" w:hAnsi="Arial Narrow"/>
        </w:rPr>
        <w:t xml:space="preserve">Valuations of listed stock should consider the characteristics of a listed instrument </w:t>
      </w:r>
      <w:commentRangeEnd w:id="15"/>
      <w:r w:rsidR="00E77099">
        <w:rPr>
          <w:rStyle w:val="ac"/>
        </w:rPr>
        <w:commentReference w:id="15"/>
      </w:r>
      <w:r>
        <w:rPr>
          <w:rFonts w:ascii="Arial Narrow" w:hAnsi="Arial Narrow"/>
        </w:rPr>
        <w:t>(share), and valuations of underlying real estate should consider the characteristics of the whole asset, and the respective markets that they are normally exchanged.</w:t>
      </w:r>
      <w:r w:rsidR="000633B4">
        <w:rPr>
          <w:rFonts w:ascii="Arial Narrow" w:hAnsi="Arial Narrow"/>
        </w:rPr>
        <w:t xml:space="preserve">  See ASIC </w:t>
      </w:r>
      <w:r w:rsidR="00F56B97">
        <w:rPr>
          <w:rFonts w:ascii="Arial Narrow" w:hAnsi="Arial Narrow"/>
        </w:rPr>
        <w:t>guidance above.</w:t>
      </w:r>
    </w:p>
    <w:p w14:paraId="3B1E66FD" w14:textId="0E85CDD6" w:rsidR="005E6B99" w:rsidRDefault="005E6B99" w:rsidP="009D014C">
      <w:pPr>
        <w:pStyle w:val="a3"/>
        <w:numPr>
          <w:ilvl w:val="0"/>
          <w:numId w:val="2"/>
        </w:numPr>
        <w:rPr>
          <w:rFonts w:ascii="Arial Narrow" w:hAnsi="Arial Narrow"/>
        </w:rPr>
      </w:pPr>
      <w:r>
        <w:rPr>
          <w:rFonts w:ascii="Arial Narrow" w:hAnsi="Arial Narrow"/>
        </w:rPr>
        <w:t xml:space="preserve">Once sale doesn’t make a market, but a weight of evidence of bid-ask spreads </w:t>
      </w:r>
      <w:r w:rsidR="00D22219">
        <w:rPr>
          <w:rFonts w:ascii="Arial Narrow" w:hAnsi="Arial Narrow"/>
        </w:rPr>
        <w:t xml:space="preserve">should </w:t>
      </w:r>
      <w:r>
        <w:rPr>
          <w:rFonts w:ascii="Arial Narrow" w:hAnsi="Arial Narrow"/>
        </w:rPr>
        <w:t xml:space="preserve">also validly </w:t>
      </w:r>
      <w:r w:rsidR="00D22219">
        <w:rPr>
          <w:rFonts w:ascii="Arial Narrow" w:hAnsi="Arial Narrow"/>
        </w:rPr>
        <w:t>feed into the valuers thought process.  This can be a valid indicator of value, or an indicator of market sentiment at the valuation date.</w:t>
      </w:r>
    </w:p>
    <w:p w14:paraId="3E363FDE" w14:textId="260FD9DE" w:rsidR="00D22219" w:rsidRPr="009D014C" w:rsidRDefault="00D22219" w:rsidP="009D014C">
      <w:pPr>
        <w:pStyle w:val="a3"/>
        <w:numPr>
          <w:ilvl w:val="0"/>
          <w:numId w:val="2"/>
        </w:numPr>
        <w:rPr>
          <w:rFonts w:ascii="Arial Narrow" w:hAnsi="Arial Narrow"/>
        </w:rPr>
      </w:pPr>
      <w:r>
        <w:rPr>
          <w:rFonts w:ascii="Arial Narrow" w:hAnsi="Arial Narrow"/>
        </w:rPr>
        <w:t>But simply comparing prices inferred in a listed environment (or similarly movements in equity value), because of the mismatch in what you are trying to value, should not be held in isolation as the best indicator of value for unlisted assets.  The two may diverge, perhaps wildly in volatile markets.</w:t>
      </w:r>
    </w:p>
    <w:p w14:paraId="508D04D8" w14:textId="29A98E62" w:rsidR="00E921BB" w:rsidRDefault="00E921BB" w:rsidP="00863914">
      <w:pPr>
        <w:rPr>
          <w:rFonts w:ascii="Arial Narrow" w:hAnsi="Arial Narrow"/>
        </w:rPr>
      </w:pPr>
    </w:p>
    <w:p w14:paraId="68C80729" w14:textId="77777777" w:rsidR="00D22219" w:rsidRPr="00E921BB" w:rsidRDefault="00D22219" w:rsidP="00863914">
      <w:pPr>
        <w:rPr>
          <w:rFonts w:ascii="Arial Narrow" w:hAnsi="Arial Narrow"/>
        </w:rPr>
      </w:pPr>
    </w:p>
    <w:p w14:paraId="6669E32E" w14:textId="51CC8665" w:rsidR="00863914" w:rsidRDefault="00863914" w:rsidP="003C7490">
      <w:pPr>
        <w:pStyle w:val="1"/>
        <w:numPr>
          <w:ilvl w:val="0"/>
          <w:numId w:val="7"/>
        </w:numPr>
        <w:rPr>
          <w:rFonts w:ascii="Arial Narrow" w:hAnsi="Arial Narrow"/>
          <w:b/>
          <w:bCs/>
          <w:color w:val="000000" w:themeColor="text1"/>
          <w:sz w:val="22"/>
          <w:szCs w:val="22"/>
        </w:rPr>
      </w:pPr>
      <w:bookmarkStart w:id="16" w:name="_Toc134193128"/>
      <w:r w:rsidRPr="0026757D">
        <w:rPr>
          <w:rFonts w:ascii="Arial Narrow" w:hAnsi="Arial Narrow"/>
          <w:b/>
          <w:bCs/>
          <w:color w:val="000000" w:themeColor="text1"/>
          <w:sz w:val="22"/>
          <w:szCs w:val="22"/>
        </w:rPr>
        <w:lastRenderedPageBreak/>
        <w:t>Where has the public narrative broken down</w:t>
      </w:r>
      <w:r w:rsidR="00F86619" w:rsidRPr="0026757D">
        <w:rPr>
          <w:rFonts w:ascii="Arial Narrow" w:hAnsi="Arial Narrow"/>
          <w:b/>
          <w:bCs/>
          <w:color w:val="000000" w:themeColor="text1"/>
          <w:sz w:val="22"/>
          <w:szCs w:val="22"/>
        </w:rPr>
        <w:t>, and where has it got it right</w:t>
      </w:r>
      <w:r w:rsidRPr="0026757D">
        <w:rPr>
          <w:rFonts w:ascii="Arial Narrow" w:hAnsi="Arial Narrow"/>
          <w:b/>
          <w:bCs/>
          <w:color w:val="000000" w:themeColor="text1"/>
          <w:sz w:val="22"/>
          <w:szCs w:val="22"/>
        </w:rPr>
        <w:t>?</w:t>
      </w:r>
      <w:bookmarkEnd w:id="16"/>
    </w:p>
    <w:p w14:paraId="0B9CC701" w14:textId="77777777" w:rsidR="0026757D" w:rsidRPr="0026757D" w:rsidRDefault="0026757D" w:rsidP="0026757D"/>
    <w:p w14:paraId="57809E6F" w14:textId="62C0C6B4" w:rsidR="00863914" w:rsidRDefault="004953D6" w:rsidP="004953D6">
      <w:pPr>
        <w:pStyle w:val="a3"/>
        <w:numPr>
          <w:ilvl w:val="0"/>
          <w:numId w:val="2"/>
        </w:numPr>
        <w:rPr>
          <w:rFonts w:ascii="Arial Narrow" w:hAnsi="Arial Narrow"/>
        </w:rPr>
      </w:pPr>
      <w:r>
        <w:rPr>
          <w:rFonts w:ascii="Arial Narrow" w:hAnsi="Arial Narrow"/>
        </w:rPr>
        <w:t>Real estate isn’t real estate</w:t>
      </w:r>
      <w:r w:rsidR="009D014C">
        <w:rPr>
          <w:rFonts w:ascii="Arial Narrow" w:hAnsi="Arial Narrow"/>
        </w:rPr>
        <w:t>: just because one portfolio has had their valuations marked down 20%, doesn’t mean that another should follow suit.  There will be sub-asset class considerations (retail, industrial, CBD office, residential, commercial</w:t>
      </w:r>
      <w:r w:rsidR="00A51712">
        <w:rPr>
          <w:rFonts w:ascii="Arial Narrow" w:hAnsi="Arial Narrow"/>
        </w:rPr>
        <w:t>, agricultural</w:t>
      </w:r>
      <w:r w:rsidR="009D014C">
        <w:rPr>
          <w:rFonts w:ascii="Arial Narrow" w:hAnsi="Arial Narrow"/>
        </w:rPr>
        <w:t xml:space="preserve">), locational differences, </w:t>
      </w:r>
      <w:r w:rsidR="00D22219">
        <w:rPr>
          <w:rFonts w:ascii="Arial Narrow" w:hAnsi="Arial Narrow"/>
        </w:rPr>
        <w:t xml:space="preserve">varying rental growth rates, </w:t>
      </w:r>
      <w:r w:rsidR="009D014C">
        <w:rPr>
          <w:rFonts w:ascii="Arial Narrow" w:hAnsi="Arial Narrow"/>
        </w:rPr>
        <w:t xml:space="preserve">grade criteria, tenancy profiles, </w:t>
      </w:r>
      <w:r w:rsidR="00393837">
        <w:rPr>
          <w:rFonts w:ascii="Arial Narrow" w:hAnsi="Arial Narrow"/>
        </w:rPr>
        <w:t xml:space="preserve">vacancy rates, </w:t>
      </w:r>
      <w:r w:rsidR="009D014C">
        <w:rPr>
          <w:rFonts w:ascii="Arial Narrow" w:hAnsi="Arial Narrow"/>
        </w:rPr>
        <w:t>lease characteristics</w:t>
      </w:r>
      <w:r w:rsidR="00980C0C">
        <w:rPr>
          <w:rFonts w:ascii="Arial Narrow" w:hAnsi="Arial Narrow"/>
        </w:rPr>
        <w:t>, varying development potential, highest and best use considerations, etc.</w:t>
      </w:r>
    </w:p>
    <w:p w14:paraId="095D0FCF" w14:textId="22C5B81D" w:rsidR="00AF4755" w:rsidRDefault="00AF4755" w:rsidP="004953D6">
      <w:pPr>
        <w:pStyle w:val="a3"/>
        <w:numPr>
          <w:ilvl w:val="0"/>
          <w:numId w:val="2"/>
        </w:numPr>
        <w:rPr>
          <w:rFonts w:ascii="Arial Narrow" w:hAnsi="Arial Narrow"/>
        </w:rPr>
      </w:pPr>
      <w:r>
        <w:rPr>
          <w:rFonts w:ascii="Arial Narrow" w:hAnsi="Arial Narrow"/>
        </w:rPr>
        <w:t>Infrastructure isn’t infrastructure</w:t>
      </w:r>
      <w:r w:rsidR="00980C0C">
        <w:rPr>
          <w:rFonts w:ascii="Arial Narrow" w:hAnsi="Arial Narrow"/>
        </w:rPr>
        <w:t xml:space="preserve">: some assets will be classified as </w:t>
      </w:r>
      <w:r w:rsidR="004C6D48">
        <w:rPr>
          <w:rFonts w:ascii="Arial Narrow" w:hAnsi="Arial Narrow"/>
        </w:rPr>
        <w:t>“</w:t>
      </w:r>
      <w:r w:rsidR="00980C0C">
        <w:rPr>
          <w:rFonts w:ascii="Arial Narrow" w:hAnsi="Arial Narrow"/>
        </w:rPr>
        <w:t>core</w:t>
      </w:r>
      <w:r w:rsidR="004C6D48">
        <w:rPr>
          <w:rFonts w:ascii="Arial Narrow" w:hAnsi="Arial Narrow"/>
        </w:rPr>
        <w:t>”</w:t>
      </w:r>
      <w:r w:rsidR="00980C0C">
        <w:rPr>
          <w:rFonts w:ascii="Arial Narrow" w:hAnsi="Arial Narrow"/>
        </w:rPr>
        <w:t xml:space="preserve"> infrastructure which has fully regulated cashflows whereby volume risk is mitigated, revenues are pegged to RAB and indexed by inflation, and costs increases are fully recoverable via pass through mechanisms, making them extremely resilient in an inflationary or volatile environment.  Other infrastructure might be </w:t>
      </w:r>
      <w:r w:rsidR="00D22219">
        <w:rPr>
          <w:rFonts w:ascii="Arial Narrow" w:hAnsi="Arial Narrow"/>
        </w:rPr>
        <w:t>“</w:t>
      </w:r>
      <w:r w:rsidR="00980C0C">
        <w:rPr>
          <w:rFonts w:ascii="Arial Narrow" w:hAnsi="Arial Narrow"/>
        </w:rPr>
        <w:t xml:space="preserve">core plus </w:t>
      </w:r>
      <w:proofErr w:type="spellStart"/>
      <w:r w:rsidR="00980C0C">
        <w:rPr>
          <w:rFonts w:ascii="Arial Narrow" w:hAnsi="Arial Narrow"/>
        </w:rPr>
        <w:t>plus</w:t>
      </w:r>
      <w:proofErr w:type="spellEnd"/>
      <w:r w:rsidR="00D22219">
        <w:rPr>
          <w:rFonts w:ascii="Arial Narrow" w:hAnsi="Arial Narrow"/>
        </w:rPr>
        <w:t>”</w:t>
      </w:r>
      <w:r w:rsidR="00980C0C">
        <w:rPr>
          <w:rFonts w:ascii="Arial Narrow" w:hAnsi="Arial Narrow"/>
        </w:rPr>
        <w:t xml:space="preserve"> which has larger exposures to volume, </w:t>
      </w:r>
      <w:proofErr w:type="gramStart"/>
      <w:r w:rsidR="00980C0C">
        <w:rPr>
          <w:rFonts w:ascii="Arial Narrow" w:hAnsi="Arial Narrow"/>
        </w:rPr>
        <w:t>revenue</w:t>
      </w:r>
      <w:proofErr w:type="gramEnd"/>
      <w:r w:rsidR="00980C0C">
        <w:rPr>
          <w:rFonts w:ascii="Arial Narrow" w:hAnsi="Arial Narrow"/>
        </w:rPr>
        <w:t xml:space="preserve"> and costs, making them highly vulnerable </w:t>
      </w:r>
      <w:r w:rsidR="00D22219">
        <w:rPr>
          <w:rFonts w:ascii="Arial Narrow" w:hAnsi="Arial Narrow"/>
        </w:rPr>
        <w:t>to</w:t>
      </w:r>
      <w:r w:rsidR="00980C0C">
        <w:rPr>
          <w:rFonts w:ascii="Arial Narrow" w:hAnsi="Arial Narrow"/>
        </w:rPr>
        <w:t xml:space="preserve"> inflation</w:t>
      </w:r>
      <w:r w:rsidR="00D22219">
        <w:rPr>
          <w:rFonts w:ascii="Arial Narrow" w:hAnsi="Arial Narrow"/>
        </w:rPr>
        <w:t>, an increase in the cost of capital,</w:t>
      </w:r>
      <w:r w:rsidR="00980C0C">
        <w:rPr>
          <w:rFonts w:ascii="Arial Narrow" w:hAnsi="Arial Narrow"/>
        </w:rPr>
        <w:t xml:space="preserve"> or volatile </w:t>
      </w:r>
      <w:r w:rsidR="00D22219">
        <w:rPr>
          <w:rFonts w:ascii="Arial Narrow" w:hAnsi="Arial Narrow"/>
        </w:rPr>
        <w:t xml:space="preserve">market </w:t>
      </w:r>
      <w:r w:rsidR="00980C0C">
        <w:rPr>
          <w:rFonts w:ascii="Arial Narrow" w:hAnsi="Arial Narrow"/>
        </w:rPr>
        <w:t>environment.</w:t>
      </w:r>
    </w:p>
    <w:p w14:paraId="0B30E6A1" w14:textId="19A13236" w:rsidR="004953D6" w:rsidRDefault="00AF4755" w:rsidP="004953D6">
      <w:pPr>
        <w:pStyle w:val="a3"/>
        <w:numPr>
          <w:ilvl w:val="0"/>
          <w:numId w:val="2"/>
        </w:numPr>
        <w:rPr>
          <w:rFonts w:ascii="Arial Narrow" w:hAnsi="Arial Narrow"/>
        </w:rPr>
      </w:pPr>
      <w:r>
        <w:rPr>
          <w:rFonts w:ascii="Arial Narrow" w:hAnsi="Arial Narrow"/>
        </w:rPr>
        <w:t>I</w:t>
      </w:r>
      <w:r w:rsidR="004953D6">
        <w:rPr>
          <w:rFonts w:ascii="Arial Narrow" w:hAnsi="Arial Narrow"/>
        </w:rPr>
        <w:t>nfrastructure</w:t>
      </w:r>
      <w:r>
        <w:rPr>
          <w:rFonts w:ascii="Arial Narrow" w:hAnsi="Arial Narrow"/>
        </w:rPr>
        <w:t xml:space="preserve"> isn’t real estate</w:t>
      </w:r>
      <w:r w:rsidR="00980C0C">
        <w:rPr>
          <w:rFonts w:ascii="Arial Narrow" w:hAnsi="Arial Narrow"/>
        </w:rPr>
        <w:t>: whilst the two may share some crossover in certain circumstances, the recent suggestion by some commentators that have suggested there should be correlation in value movements between the two couldn’t be further from the truth!</w:t>
      </w:r>
    </w:p>
    <w:p w14:paraId="0715A3FB" w14:textId="3C91C080" w:rsidR="00F81A3A" w:rsidRDefault="00F81A3A" w:rsidP="00F81A3A">
      <w:pPr>
        <w:pStyle w:val="a3"/>
        <w:numPr>
          <w:ilvl w:val="0"/>
          <w:numId w:val="2"/>
        </w:numPr>
        <w:rPr>
          <w:rFonts w:ascii="Arial Narrow" w:hAnsi="Arial Narrow"/>
        </w:rPr>
      </w:pPr>
      <w:r>
        <w:rPr>
          <w:rFonts w:ascii="Arial Narrow" w:hAnsi="Arial Narrow"/>
        </w:rPr>
        <w:t>Jurisdictional differences</w:t>
      </w:r>
      <w:r w:rsidR="00980C0C">
        <w:rPr>
          <w:rFonts w:ascii="Arial Narrow" w:hAnsi="Arial Narrow"/>
        </w:rPr>
        <w:t>:</w:t>
      </w:r>
      <w:r>
        <w:rPr>
          <w:rFonts w:ascii="Arial Narrow" w:hAnsi="Arial Narrow"/>
        </w:rPr>
        <w:t xml:space="preserve"> will typically be based on </w:t>
      </w:r>
      <w:proofErr w:type="gramStart"/>
      <w:r>
        <w:rPr>
          <w:rFonts w:ascii="Arial Narrow" w:hAnsi="Arial Narrow"/>
        </w:rPr>
        <w:t>short and long term</w:t>
      </w:r>
      <w:proofErr w:type="gramEnd"/>
      <w:r>
        <w:rPr>
          <w:rFonts w:ascii="Arial Narrow" w:hAnsi="Arial Narrow"/>
        </w:rPr>
        <w:t xml:space="preserve"> supply and demand drivers dictated by the local environment within which the asset sits.</w:t>
      </w:r>
      <w:r w:rsidR="00980C0C">
        <w:rPr>
          <w:rFonts w:ascii="Arial Narrow" w:hAnsi="Arial Narrow"/>
        </w:rPr>
        <w:t xml:space="preserve">  The same type of asset</w:t>
      </w:r>
      <w:r w:rsidR="00C615F0">
        <w:rPr>
          <w:rFonts w:ascii="Arial Narrow" w:hAnsi="Arial Narrow"/>
        </w:rPr>
        <w:t xml:space="preserve"> sitting in one city in Western Europe could be exposed to completely different supply and demand drivers to a like asset in </w:t>
      </w:r>
      <w:r w:rsidR="002019CD">
        <w:rPr>
          <w:rFonts w:ascii="Arial Narrow" w:hAnsi="Arial Narrow"/>
        </w:rPr>
        <w:t xml:space="preserve">North America, </w:t>
      </w:r>
      <w:proofErr w:type="gramStart"/>
      <w:r w:rsidR="00C615F0">
        <w:rPr>
          <w:rFonts w:ascii="Arial Narrow" w:hAnsi="Arial Narrow"/>
        </w:rPr>
        <w:t>Asia</w:t>
      </w:r>
      <w:proofErr w:type="gramEnd"/>
      <w:r w:rsidR="00B60D5E">
        <w:rPr>
          <w:rFonts w:ascii="Arial Narrow" w:hAnsi="Arial Narrow"/>
        </w:rPr>
        <w:t xml:space="preserve"> or Australia</w:t>
      </w:r>
      <w:r w:rsidR="00C615F0">
        <w:rPr>
          <w:rFonts w:ascii="Arial Narrow" w:hAnsi="Arial Narrow"/>
        </w:rPr>
        <w:t>.</w:t>
      </w:r>
    </w:p>
    <w:p w14:paraId="234710A1" w14:textId="0E9F7EC0" w:rsidR="00F81A3A" w:rsidRDefault="00C615F0" w:rsidP="00F81A3A">
      <w:pPr>
        <w:pStyle w:val="a3"/>
        <w:numPr>
          <w:ilvl w:val="0"/>
          <w:numId w:val="2"/>
        </w:numPr>
        <w:rPr>
          <w:rFonts w:ascii="Arial Narrow" w:hAnsi="Arial Narrow"/>
        </w:rPr>
      </w:pPr>
      <w:r>
        <w:rPr>
          <w:rFonts w:ascii="Arial Narrow" w:hAnsi="Arial Narrow"/>
        </w:rPr>
        <w:t xml:space="preserve">Inflation might not necessarily be the bogey man for all assets: </w:t>
      </w:r>
      <w:r w:rsidR="00F81A3A">
        <w:rPr>
          <w:rFonts w:ascii="Arial Narrow" w:hAnsi="Arial Narrow"/>
        </w:rPr>
        <w:t>Needs to be acknowledged that in some circumstances, recent inflation might result in income increases</w:t>
      </w:r>
      <w:r>
        <w:rPr>
          <w:rFonts w:ascii="Arial Narrow" w:hAnsi="Arial Narrow"/>
        </w:rPr>
        <w:t xml:space="preserve"> when properly built into leases</w:t>
      </w:r>
      <w:r w:rsidR="00F81A3A">
        <w:rPr>
          <w:rFonts w:ascii="Arial Narrow" w:hAnsi="Arial Narrow"/>
        </w:rPr>
        <w:t xml:space="preserve">, potentially offsetting </w:t>
      </w:r>
      <w:r>
        <w:rPr>
          <w:rFonts w:ascii="Arial Narrow" w:hAnsi="Arial Narrow"/>
        </w:rPr>
        <w:t>(or outstripping) any headwinds</w:t>
      </w:r>
      <w:r w:rsidR="00F81A3A">
        <w:rPr>
          <w:rFonts w:ascii="Arial Narrow" w:hAnsi="Arial Narrow"/>
        </w:rPr>
        <w:t xml:space="preserve"> </w:t>
      </w:r>
      <w:proofErr w:type="gramStart"/>
      <w:r w:rsidR="00F81A3A">
        <w:rPr>
          <w:rFonts w:ascii="Arial Narrow" w:hAnsi="Arial Narrow"/>
        </w:rPr>
        <w:t>as a result of</w:t>
      </w:r>
      <w:proofErr w:type="gramEnd"/>
      <w:r w:rsidR="00F81A3A">
        <w:rPr>
          <w:rFonts w:ascii="Arial Narrow" w:hAnsi="Arial Narrow"/>
        </w:rPr>
        <w:t xml:space="preserve"> the increasing cost of capital</w:t>
      </w:r>
      <w:r>
        <w:rPr>
          <w:rFonts w:ascii="Arial Narrow" w:hAnsi="Arial Narrow"/>
        </w:rPr>
        <w:t>.  There may indeed be some assets that i) are in high demand</w:t>
      </w:r>
      <w:r w:rsidR="00D22219">
        <w:rPr>
          <w:rFonts w:ascii="Arial Narrow" w:hAnsi="Arial Narrow"/>
        </w:rPr>
        <w:t xml:space="preserve"> (40% year-on-year rental growth for some industrial property in Sydney </w:t>
      </w:r>
      <w:proofErr w:type="gramStart"/>
      <w:r w:rsidR="00D22219">
        <w:rPr>
          <w:rFonts w:ascii="Arial Narrow" w:hAnsi="Arial Narrow"/>
        </w:rPr>
        <w:t>at the moment</w:t>
      </w:r>
      <w:proofErr w:type="gramEnd"/>
      <w:r w:rsidR="00D22219">
        <w:rPr>
          <w:rFonts w:ascii="Arial Narrow" w:hAnsi="Arial Narrow"/>
        </w:rPr>
        <w:t>)</w:t>
      </w:r>
      <w:r>
        <w:rPr>
          <w:rFonts w:ascii="Arial Narrow" w:hAnsi="Arial Narrow"/>
        </w:rPr>
        <w:t>, ii) have full inflation protection built into lease agreements, iii) have full cost recovery through the implementation of triple net leases and iv) have long term funding or hedging arrangements in place from a lending perspective.</w:t>
      </w:r>
    </w:p>
    <w:p w14:paraId="678F46E7" w14:textId="5E583444" w:rsidR="00325110" w:rsidRDefault="00C615F0" w:rsidP="00F81A3A">
      <w:pPr>
        <w:pStyle w:val="a3"/>
        <w:numPr>
          <w:ilvl w:val="0"/>
          <w:numId w:val="2"/>
        </w:numPr>
        <w:rPr>
          <w:rFonts w:ascii="Arial Narrow" w:hAnsi="Arial Narrow"/>
        </w:rPr>
      </w:pPr>
      <w:r>
        <w:rPr>
          <w:rFonts w:ascii="Arial Narrow" w:hAnsi="Arial Narrow"/>
        </w:rPr>
        <w:t xml:space="preserve">Leverage: </w:t>
      </w:r>
      <w:r w:rsidR="004953D6">
        <w:rPr>
          <w:rFonts w:ascii="Arial Narrow" w:hAnsi="Arial Narrow"/>
        </w:rPr>
        <w:t>Impact of leverage</w:t>
      </w:r>
      <w:r w:rsidR="00F86619">
        <w:rPr>
          <w:rFonts w:ascii="Arial Narrow" w:hAnsi="Arial Narrow"/>
        </w:rPr>
        <w:t xml:space="preserve"> creates differences and means that comparing different assets</w:t>
      </w:r>
      <w:r w:rsidR="000172D2">
        <w:rPr>
          <w:rFonts w:ascii="Arial Narrow" w:hAnsi="Arial Narrow"/>
        </w:rPr>
        <w:t xml:space="preserve"> value movements</w:t>
      </w:r>
      <w:r w:rsidR="00F86619">
        <w:rPr>
          <w:rFonts w:ascii="Arial Narrow" w:hAnsi="Arial Narrow"/>
        </w:rPr>
        <w:t xml:space="preserve"> </w:t>
      </w:r>
      <w:r w:rsidR="003C7490">
        <w:rPr>
          <w:rFonts w:ascii="Arial Narrow" w:hAnsi="Arial Narrow"/>
        </w:rPr>
        <w:t xml:space="preserve">or indices side-by-side </w:t>
      </w:r>
      <w:r w:rsidR="00F86619">
        <w:rPr>
          <w:rFonts w:ascii="Arial Narrow" w:hAnsi="Arial Narrow"/>
        </w:rPr>
        <w:t>without this consideration is misguided</w:t>
      </w:r>
      <w:r>
        <w:rPr>
          <w:rFonts w:ascii="Arial Narrow" w:hAnsi="Arial Narrow"/>
        </w:rPr>
        <w:t xml:space="preserve"> (</w:t>
      </w:r>
      <w:proofErr w:type="spellStart"/>
      <w:r>
        <w:rPr>
          <w:rFonts w:ascii="Arial Narrow" w:hAnsi="Arial Narrow"/>
        </w:rPr>
        <w:t>ie</w:t>
      </w:r>
      <w:proofErr w:type="spellEnd"/>
      <w:r>
        <w:rPr>
          <w:rFonts w:ascii="Arial Narrow" w:hAnsi="Arial Narrow"/>
        </w:rPr>
        <w:t>. comparing NAV % changes in one asset to another might be misguided as one asset may have significantly more leverage than the other</w:t>
      </w:r>
      <w:r w:rsidR="003C7490">
        <w:rPr>
          <w:rFonts w:ascii="Arial Narrow" w:hAnsi="Arial Narrow"/>
        </w:rPr>
        <w:t>, or indeed some published indices may be unlevered</w:t>
      </w:r>
      <w:r w:rsidR="00D22219">
        <w:rPr>
          <w:rFonts w:ascii="Arial Narrow" w:hAnsi="Arial Narrow"/>
        </w:rPr>
        <w:t xml:space="preserve"> which creates a mismatch to assets that are in a listed or unlisted environment</w:t>
      </w:r>
      <w:r>
        <w:rPr>
          <w:rFonts w:ascii="Arial Narrow" w:hAnsi="Arial Narrow"/>
        </w:rPr>
        <w:t>).</w:t>
      </w:r>
    </w:p>
    <w:p w14:paraId="3714F8B3" w14:textId="3FC22A81" w:rsidR="00393837" w:rsidRPr="005547A7" w:rsidRDefault="009314B6" w:rsidP="00863914">
      <w:pPr>
        <w:pStyle w:val="a3"/>
        <w:numPr>
          <w:ilvl w:val="0"/>
          <w:numId w:val="2"/>
        </w:numPr>
        <w:rPr>
          <w:rFonts w:ascii="Arial Narrow" w:hAnsi="Arial Narrow"/>
        </w:rPr>
      </w:pPr>
      <w:r>
        <w:rPr>
          <w:rFonts w:ascii="Arial Narrow" w:hAnsi="Arial Narrow"/>
        </w:rPr>
        <w:t>Where the public narrative has got it right, is that it is justified in querying why the del</w:t>
      </w:r>
      <w:r w:rsidR="001C6164">
        <w:rPr>
          <w:rFonts w:ascii="Arial Narrow" w:hAnsi="Arial Narrow"/>
        </w:rPr>
        <w:t>ta between listed and unlisted values have become so large!</w:t>
      </w:r>
      <w:r w:rsidR="00E010DA">
        <w:rPr>
          <w:rFonts w:ascii="Arial Narrow" w:hAnsi="Arial Narrow"/>
        </w:rPr>
        <w:t xml:space="preserve">  Whilst few market participants care if the delta is +/- </w:t>
      </w:r>
      <w:r w:rsidR="00DA746B">
        <w:rPr>
          <w:rFonts w:ascii="Arial Narrow" w:hAnsi="Arial Narrow"/>
        </w:rPr>
        <w:t xml:space="preserve">0-10% (and would </w:t>
      </w:r>
      <w:proofErr w:type="gramStart"/>
      <w:r w:rsidR="00DA746B">
        <w:rPr>
          <w:rFonts w:ascii="Arial Narrow" w:hAnsi="Arial Narrow"/>
        </w:rPr>
        <w:t>actually expect</w:t>
      </w:r>
      <w:proofErr w:type="gramEnd"/>
      <w:r w:rsidR="00DA746B">
        <w:rPr>
          <w:rFonts w:ascii="Arial Narrow" w:hAnsi="Arial Narrow"/>
        </w:rPr>
        <w:t xml:space="preserve"> such), when the divergence is between +/- 20-60% (or more) it provides reason </w:t>
      </w:r>
      <w:r w:rsidR="00EC52CA">
        <w:rPr>
          <w:rFonts w:ascii="Arial Narrow" w:hAnsi="Arial Narrow"/>
        </w:rPr>
        <w:t>for confusion.</w:t>
      </w:r>
    </w:p>
    <w:p w14:paraId="7EDFE5DD" w14:textId="103B7F07" w:rsidR="006B0D7E" w:rsidRDefault="006B0D7E" w:rsidP="003C7490">
      <w:pPr>
        <w:pStyle w:val="1"/>
        <w:numPr>
          <w:ilvl w:val="0"/>
          <w:numId w:val="7"/>
        </w:numPr>
        <w:rPr>
          <w:rFonts w:ascii="Arial Narrow" w:hAnsi="Arial Narrow"/>
          <w:b/>
          <w:bCs/>
          <w:color w:val="000000" w:themeColor="text1"/>
          <w:sz w:val="22"/>
          <w:szCs w:val="22"/>
        </w:rPr>
      </w:pPr>
      <w:bookmarkStart w:id="17" w:name="_Toc134193129"/>
      <w:r w:rsidRPr="0026757D">
        <w:rPr>
          <w:rFonts w:ascii="Arial Narrow" w:hAnsi="Arial Narrow"/>
          <w:b/>
          <w:bCs/>
          <w:color w:val="000000" w:themeColor="text1"/>
          <w:sz w:val="22"/>
          <w:szCs w:val="22"/>
        </w:rPr>
        <w:t>So</w:t>
      </w:r>
      <w:r w:rsidR="00C615F0" w:rsidRPr="0026757D">
        <w:rPr>
          <w:rFonts w:ascii="Arial Narrow" w:hAnsi="Arial Narrow"/>
          <w:b/>
          <w:bCs/>
          <w:color w:val="000000" w:themeColor="text1"/>
          <w:sz w:val="22"/>
          <w:szCs w:val="22"/>
        </w:rPr>
        <w:t xml:space="preserve"> where does this leave the valuer</w:t>
      </w:r>
      <w:r w:rsidR="004953D6" w:rsidRPr="0026757D">
        <w:rPr>
          <w:rFonts w:ascii="Arial Narrow" w:hAnsi="Arial Narrow"/>
          <w:b/>
          <w:bCs/>
          <w:color w:val="000000" w:themeColor="text1"/>
          <w:sz w:val="22"/>
          <w:szCs w:val="22"/>
        </w:rPr>
        <w:t>, do</w:t>
      </w:r>
      <w:r w:rsidR="00C615F0" w:rsidRPr="0026757D">
        <w:rPr>
          <w:rFonts w:ascii="Arial Narrow" w:hAnsi="Arial Narrow"/>
          <w:b/>
          <w:bCs/>
          <w:color w:val="000000" w:themeColor="text1"/>
          <w:sz w:val="22"/>
          <w:szCs w:val="22"/>
        </w:rPr>
        <w:t xml:space="preserve"> they</w:t>
      </w:r>
      <w:r w:rsidRPr="0026757D">
        <w:rPr>
          <w:rFonts w:ascii="Arial Narrow" w:hAnsi="Arial Narrow"/>
          <w:b/>
          <w:bCs/>
          <w:color w:val="000000" w:themeColor="text1"/>
          <w:sz w:val="22"/>
          <w:szCs w:val="22"/>
        </w:rPr>
        <w:t xml:space="preserve"> ha</w:t>
      </w:r>
      <w:r w:rsidR="004953D6" w:rsidRPr="0026757D">
        <w:rPr>
          <w:rFonts w:ascii="Arial Narrow" w:hAnsi="Arial Narrow"/>
          <w:b/>
          <w:bCs/>
          <w:color w:val="000000" w:themeColor="text1"/>
          <w:sz w:val="22"/>
          <w:szCs w:val="22"/>
        </w:rPr>
        <w:t>ve</w:t>
      </w:r>
      <w:r w:rsidRPr="0026757D">
        <w:rPr>
          <w:rFonts w:ascii="Arial Narrow" w:hAnsi="Arial Narrow"/>
          <w:b/>
          <w:bCs/>
          <w:color w:val="000000" w:themeColor="text1"/>
          <w:sz w:val="22"/>
          <w:szCs w:val="22"/>
        </w:rPr>
        <w:t xml:space="preserve"> to do nothing?</w:t>
      </w:r>
      <w:bookmarkEnd w:id="17"/>
    </w:p>
    <w:p w14:paraId="2E530F4B" w14:textId="77777777" w:rsidR="0026757D" w:rsidRPr="0026757D" w:rsidRDefault="0026757D" w:rsidP="0026757D"/>
    <w:p w14:paraId="2A189F7E" w14:textId="5BF51760" w:rsidR="004953D6" w:rsidRPr="001C6164" w:rsidRDefault="006B0D7E" w:rsidP="001C6164">
      <w:pPr>
        <w:pStyle w:val="a3"/>
        <w:numPr>
          <w:ilvl w:val="0"/>
          <w:numId w:val="8"/>
        </w:numPr>
        <w:rPr>
          <w:rFonts w:ascii="Arial Narrow" w:hAnsi="Arial Narrow"/>
        </w:rPr>
      </w:pPr>
      <w:r w:rsidRPr="001C6164">
        <w:rPr>
          <w:rFonts w:ascii="Arial Narrow" w:hAnsi="Arial Narrow"/>
        </w:rPr>
        <w:t>Absolutely not!</w:t>
      </w:r>
      <w:r w:rsidR="001C6164">
        <w:rPr>
          <w:rFonts w:ascii="Arial Narrow" w:hAnsi="Arial Narrow"/>
        </w:rPr>
        <w:t xml:space="preserve">  </w:t>
      </w:r>
      <w:r w:rsidR="004953D6" w:rsidRPr="001C6164">
        <w:rPr>
          <w:rFonts w:ascii="Arial Narrow" w:hAnsi="Arial Narrow"/>
        </w:rPr>
        <w:t>Valuers and investment managers can’t sit on their hands</w:t>
      </w:r>
    </w:p>
    <w:p w14:paraId="32A59FA2" w14:textId="77777777" w:rsidR="00EC52CA" w:rsidRDefault="000A34AB" w:rsidP="00863914">
      <w:pPr>
        <w:pStyle w:val="a3"/>
        <w:numPr>
          <w:ilvl w:val="0"/>
          <w:numId w:val="2"/>
        </w:numPr>
        <w:rPr>
          <w:rFonts w:ascii="Arial Narrow" w:hAnsi="Arial Narrow"/>
        </w:rPr>
      </w:pPr>
      <w:r>
        <w:rPr>
          <w:rFonts w:ascii="Arial Narrow" w:hAnsi="Arial Narrow"/>
        </w:rPr>
        <w:t>How might the valuer consider sentiment in absence of a weight of market evidence (IVS permits such</w:t>
      </w:r>
      <w:r w:rsidR="00CF4EB7">
        <w:rPr>
          <w:rFonts w:ascii="Arial Narrow" w:hAnsi="Arial Narrow"/>
        </w:rPr>
        <w:t xml:space="preserve"> if it’s “known or knowable with reasonable due diligence on the measurement/valuation date by participants”</w:t>
      </w:r>
      <w:r>
        <w:rPr>
          <w:rFonts w:ascii="Arial Narrow" w:hAnsi="Arial Narrow"/>
        </w:rPr>
        <w:t>)</w:t>
      </w:r>
      <w:r w:rsidR="00EC52CA">
        <w:rPr>
          <w:rFonts w:ascii="Arial Narrow" w:hAnsi="Arial Narrow"/>
        </w:rPr>
        <w:t>.</w:t>
      </w:r>
    </w:p>
    <w:p w14:paraId="6A4997BC" w14:textId="44BBACF9" w:rsidR="000A34AB" w:rsidRPr="00EA6974" w:rsidRDefault="00EC52CA" w:rsidP="00EA6974">
      <w:pPr>
        <w:pStyle w:val="a3"/>
        <w:numPr>
          <w:ilvl w:val="0"/>
          <w:numId w:val="2"/>
        </w:numPr>
        <w:rPr>
          <w:rFonts w:ascii="Arial Narrow" w:hAnsi="Arial Narrow"/>
        </w:rPr>
      </w:pPr>
      <w:r>
        <w:rPr>
          <w:rFonts w:ascii="Arial Narrow" w:hAnsi="Arial Narrow"/>
        </w:rPr>
        <w:t>Are there other price indicators that could be developed by valuation professionals</w:t>
      </w:r>
      <w:r w:rsidR="0010036D">
        <w:rPr>
          <w:rFonts w:ascii="Arial Narrow" w:hAnsi="Arial Narrow"/>
        </w:rPr>
        <w:t xml:space="preserve"> in the absence of a </w:t>
      </w:r>
      <w:proofErr w:type="spellStart"/>
      <w:r w:rsidR="002219C9">
        <w:rPr>
          <w:rFonts w:ascii="Arial Narrow" w:hAnsi="Arial Narrow"/>
        </w:rPr>
        <w:t>a</w:t>
      </w:r>
      <w:proofErr w:type="spellEnd"/>
      <w:r w:rsidR="002219C9">
        <w:rPr>
          <w:rFonts w:ascii="Arial Narrow" w:hAnsi="Arial Narrow"/>
        </w:rPr>
        <w:t xml:space="preserve"> </w:t>
      </w:r>
      <w:proofErr w:type="gramStart"/>
      <w:r w:rsidR="002219C9">
        <w:rPr>
          <w:rFonts w:ascii="Arial Narrow" w:hAnsi="Arial Narrow"/>
        </w:rPr>
        <w:t>high volume</w:t>
      </w:r>
      <w:proofErr w:type="gramEnd"/>
      <w:r w:rsidR="0010036D">
        <w:rPr>
          <w:rFonts w:ascii="Arial Narrow" w:hAnsi="Arial Narrow"/>
        </w:rPr>
        <w:t xml:space="preserve"> transactional environment by utilising other information (</w:t>
      </w:r>
      <w:proofErr w:type="spellStart"/>
      <w:r w:rsidR="0010036D">
        <w:rPr>
          <w:rFonts w:ascii="Arial Narrow" w:hAnsi="Arial Narrow"/>
        </w:rPr>
        <w:t>ie</w:t>
      </w:r>
      <w:proofErr w:type="spellEnd"/>
      <w:r w:rsidR="0010036D">
        <w:rPr>
          <w:rFonts w:ascii="Arial Narrow" w:hAnsi="Arial Narrow"/>
        </w:rPr>
        <w:t xml:space="preserve">. </w:t>
      </w:r>
      <w:r w:rsidR="002A727D">
        <w:rPr>
          <w:rFonts w:ascii="Arial Narrow" w:hAnsi="Arial Narrow"/>
        </w:rPr>
        <w:t xml:space="preserve">by using </w:t>
      </w:r>
      <w:r w:rsidR="0010036D">
        <w:rPr>
          <w:rFonts w:ascii="Arial Narrow" w:hAnsi="Arial Narrow"/>
        </w:rPr>
        <w:t xml:space="preserve">face rents, incentives, </w:t>
      </w:r>
      <w:r w:rsidR="00DB67B9">
        <w:rPr>
          <w:rFonts w:ascii="Arial Narrow" w:hAnsi="Arial Narrow"/>
        </w:rPr>
        <w:t xml:space="preserve">net effective rents, vacancies, </w:t>
      </w:r>
      <w:proofErr w:type="gramStart"/>
      <w:r w:rsidR="00DB67B9">
        <w:rPr>
          <w:rFonts w:ascii="Arial Narrow" w:hAnsi="Arial Narrow"/>
        </w:rPr>
        <w:t>yields</w:t>
      </w:r>
      <w:proofErr w:type="gramEnd"/>
      <w:r w:rsidR="002219C9">
        <w:rPr>
          <w:rFonts w:ascii="Arial Narrow" w:hAnsi="Arial Narrow"/>
        </w:rPr>
        <w:t xml:space="preserve"> and target </w:t>
      </w:r>
      <w:r w:rsidR="00B42DCD">
        <w:rPr>
          <w:rFonts w:ascii="Arial Narrow" w:hAnsi="Arial Narrow"/>
        </w:rPr>
        <w:t>gearing assumptions to infer a capital value for 1 sqm of real estate, by as</w:t>
      </w:r>
      <w:r w:rsidR="002A727D">
        <w:rPr>
          <w:rFonts w:ascii="Arial Narrow" w:hAnsi="Arial Narrow"/>
        </w:rPr>
        <w:t>set class and grade which is updated every quarter)</w:t>
      </w:r>
      <w:r w:rsidR="00042FC6">
        <w:rPr>
          <w:rFonts w:ascii="Arial Narrow" w:hAnsi="Arial Narrow"/>
        </w:rPr>
        <w:t>?</w:t>
      </w:r>
      <w:r w:rsidR="00EA6974">
        <w:rPr>
          <w:rFonts w:ascii="Arial Narrow" w:hAnsi="Arial Narrow"/>
        </w:rPr>
        <w:t xml:space="preserve">  </w:t>
      </w:r>
      <w:r w:rsidR="002B0821" w:rsidRPr="00EA6974">
        <w:rPr>
          <w:rFonts w:ascii="Arial Narrow" w:hAnsi="Arial Narrow"/>
        </w:rPr>
        <w:t xml:space="preserve">Whilst we </w:t>
      </w:r>
      <w:r w:rsidR="00B67040">
        <w:rPr>
          <w:rFonts w:ascii="Arial Narrow" w:hAnsi="Arial Narrow"/>
        </w:rPr>
        <w:t>often</w:t>
      </w:r>
      <w:r w:rsidR="002B0821" w:rsidRPr="00EA6974">
        <w:rPr>
          <w:rFonts w:ascii="Arial Narrow" w:hAnsi="Arial Narrow"/>
        </w:rPr>
        <w:t xml:space="preserve"> have these price indicators in certain asset classes (</w:t>
      </w:r>
      <w:proofErr w:type="spellStart"/>
      <w:r w:rsidR="002B0821" w:rsidRPr="00EA6974">
        <w:rPr>
          <w:rFonts w:ascii="Arial Narrow" w:hAnsi="Arial Narrow"/>
        </w:rPr>
        <w:t>ie</w:t>
      </w:r>
      <w:proofErr w:type="spellEnd"/>
      <w:r w:rsidR="002B0821" w:rsidRPr="00EA6974">
        <w:rPr>
          <w:rFonts w:ascii="Arial Narrow" w:hAnsi="Arial Narrow"/>
        </w:rPr>
        <w:t>. residential</w:t>
      </w:r>
      <w:r w:rsidR="00B45D98">
        <w:rPr>
          <w:rFonts w:ascii="Arial Narrow" w:hAnsi="Arial Narrow"/>
        </w:rPr>
        <w:t xml:space="preserve"> median asset prices, </w:t>
      </w:r>
      <w:r w:rsidR="002B0821" w:rsidRPr="00EA6974">
        <w:rPr>
          <w:rFonts w:ascii="Arial Narrow" w:hAnsi="Arial Narrow"/>
        </w:rPr>
        <w:t>agriculture</w:t>
      </w:r>
      <w:r w:rsidR="00B45D98">
        <w:rPr>
          <w:rFonts w:ascii="Arial Narrow" w:hAnsi="Arial Narrow"/>
        </w:rPr>
        <w:t xml:space="preserve"> transactions per hectare</w:t>
      </w:r>
      <w:r w:rsidR="009619E6" w:rsidRPr="00EA6974">
        <w:rPr>
          <w:rFonts w:ascii="Arial Narrow" w:hAnsi="Arial Narrow"/>
        </w:rPr>
        <w:t xml:space="preserve">), they are often lacking </w:t>
      </w:r>
      <w:r w:rsidR="00A916A6" w:rsidRPr="00EA6974">
        <w:rPr>
          <w:rFonts w:ascii="Arial Narrow" w:hAnsi="Arial Narrow"/>
        </w:rPr>
        <w:t xml:space="preserve">in other asset classes like office, industrial and retail.  This may vary by </w:t>
      </w:r>
      <w:r w:rsidR="00A916A6" w:rsidRPr="00EA6974">
        <w:rPr>
          <w:rFonts w:ascii="Arial Narrow" w:hAnsi="Arial Narrow"/>
        </w:rPr>
        <w:lastRenderedPageBreak/>
        <w:t>jurisdiction</w:t>
      </w:r>
      <w:r w:rsidR="00A74CC2" w:rsidRPr="00EA6974">
        <w:rPr>
          <w:rFonts w:ascii="Arial Narrow" w:hAnsi="Arial Narrow"/>
        </w:rPr>
        <w:t xml:space="preserve">, but we also must be careful that the ‘pricing indicator’ doesn’t rely on </w:t>
      </w:r>
      <w:r w:rsidR="000E3E14">
        <w:rPr>
          <w:rFonts w:ascii="Arial Narrow" w:hAnsi="Arial Narrow"/>
        </w:rPr>
        <w:t xml:space="preserve">underlying </w:t>
      </w:r>
      <w:r w:rsidR="00A74CC2" w:rsidRPr="00EA6974">
        <w:rPr>
          <w:rFonts w:ascii="Arial Narrow" w:hAnsi="Arial Narrow"/>
        </w:rPr>
        <w:t>valuations</w:t>
      </w:r>
      <w:r w:rsidR="000E3E14">
        <w:rPr>
          <w:rFonts w:ascii="Arial Narrow" w:hAnsi="Arial Narrow"/>
        </w:rPr>
        <w:t xml:space="preserve"> (</w:t>
      </w:r>
      <w:r w:rsidR="008667B8">
        <w:rPr>
          <w:rFonts w:ascii="Arial Narrow" w:hAnsi="Arial Narrow"/>
        </w:rPr>
        <w:t xml:space="preserve">such as </w:t>
      </w:r>
      <w:r w:rsidR="00FC0C53" w:rsidRPr="00FC0C53">
        <w:rPr>
          <w:rFonts w:ascii="Arial Narrow" w:hAnsi="Arial Narrow"/>
        </w:rPr>
        <w:t>ANREV Australia Farmland Index</w:t>
      </w:r>
      <w:r w:rsidR="00AF3252">
        <w:rPr>
          <w:rFonts w:ascii="Arial Narrow" w:hAnsi="Arial Narrow"/>
        </w:rPr>
        <w:t xml:space="preserve">, </w:t>
      </w:r>
      <w:r w:rsidR="00BE7270" w:rsidRPr="00BE7270">
        <w:rPr>
          <w:rFonts w:ascii="Arial Narrow" w:hAnsi="Arial Narrow"/>
        </w:rPr>
        <w:t>Green Street Commercial Property Price Index</w:t>
      </w:r>
      <w:r w:rsidR="00AF3252">
        <w:rPr>
          <w:rFonts w:ascii="Arial Narrow" w:hAnsi="Arial Narrow"/>
        </w:rPr>
        <w:t>)</w:t>
      </w:r>
      <w:r w:rsidR="00EA6974">
        <w:rPr>
          <w:rFonts w:ascii="Arial Narrow" w:hAnsi="Arial Narrow"/>
        </w:rPr>
        <w:t>.  ‘Pricin</w:t>
      </w:r>
      <w:r w:rsidR="00937AAE">
        <w:rPr>
          <w:rFonts w:ascii="Arial Narrow" w:hAnsi="Arial Narrow"/>
        </w:rPr>
        <w:t>g’ indicators must utilise market pricing metrics and information</w:t>
      </w:r>
      <w:r w:rsidR="008667B8">
        <w:rPr>
          <w:rFonts w:ascii="Arial Narrow" w:hAnsi="Arial Narrow"/>
        </w:rPr>
        <w:t>, otherwise the same criticism will remain</w:t>
      </w:r>
      <w:r w:rsidR="00937AAE">
        <w:rPr>
          <w:rFonts w:ascii="Arial Narrow" w:hAnsi="Arial Narrow"/>
        </w:rPr>
        <w:t>!</w:t>
      </w:r>
      <w:r w:rsidR="00A82356">
        <w:rPr>
          <w:rFonts w:ascii="Arial Narrow" w:hAnsi="Arial Narrow"/>
        </w:rPr>
        <w:t xml:space="preserve"> </w:t>
      </w:r>
      <w:r w:rsidR="00A82356" w:rsidRPr="00A82356">
        <w:rPr>
          <w:rFonts w:ascii="Arial Narrow" w:hAnsi="Arial Narrow"/>
          <w:b/>
          <w:bCs/>
        </w:rPr>
        <w:t>[JAMES GAVIN, PARTICULARLY INTERESTED IN YOUR THOUGHTS ON THIS]</w:t>
      </w:r>
    </w:p>
    <w:p w14:paraId="33BABC3D" w14:textId="6F531F6E" w:rsidR="004953D6" w:rsidRDefault="004953D6" w:rsidP="00863914">
      <w:pPr>
        <w:pStyle w:val="a3"/>
        <w:numPr>
          <w:ilvl w:val="0"/>
          <w:numId w:val="2"/>
        </w:numPr>
        <w:rPr>
          <w:rFonts w:ascii="Arial Narrow" w:hAnsi="Arial Narrow"/>
        </w:rPr>
      </w:pPr>
      <w:r>
        <w:rPr>
          <w:rFonts w:ascii="Arial Narrow" w:hAnsi="Arial Narrow"/>
        </w:rPr>
        <w:t xml:space="preserve">Public </w:t>
      </w:r>
      <w:r w:rsidR="00D22219">
        <w:rPr>
          <w:rFonts w:ascii="Arial Narrow" w:hAnsi="Arial Narrow"/>
        </w:rPr>
        <w:t xml:space="preserve">listed </w:t>
      </w:r>
      <w:r>
        <w:rPr>
          <w:rFonts w:ascii="Arial Narrow" w:hAnsi="Arial Narrow"/>
        </w:rPr>
        <w:t xml:space="preserve">markets </w:t>
      </w:r>
      <w:r w:rsidR="00CF4EB7">
        <w:rPr>
          <w:rFonts w:ascii="Arial Narrow" w:hAnsi="Arial Narrow"/>
        </w:rPr>
        <w:t xml:space="preserve">may </w:t>
      </w:r>
      <w:r>
        <w:rPr>
          <w:rFonts w:ascii="Arial Narrow" w:hAnsi="Arial Narrow"/>
        </w:rPr>
        <w:t xml:space="preserve">provide a clear prompt </w:t>
      </w:r>
      <w:r w:rsidR="0031459B">
        <w:rPr>
          <w:rFonts w:ascii="Arial Narrow" w:hAnsi="Arial Narrow"/>
        </w:rPr>
        <w:t xml:space="preserve">(or leading indicator) </w:t>
      </w:r>
      <w:r>
        <w:rPr>
          <w:rFonts w:ascii="Arial Narrow" w:hAnsi="Arial Narrow"/>
        </w:rPr>
        <w:t>to valuer to query their assumptions</w:t>
      </w:r>
      <w:r w:rsidR="00CF4EB7">
        <w:rPr>
          <w:rFonts w:ascii="Arial Narrow" w:hAnsi="Arial Narrow"/>
        </w:rPr>
        <w:t>, but they are not necessarily indicative of value</w:t>
      </w:r>
      <w:r w:rsidR="00D22219">
        <w:rPr>
          <w:rFonts w:ascii="Arial Narrow" w:hAnsi="Arial Narrow"/>
        </w:rPr>
        <w:t xml:space="preserve"> in an unlisted environment</w:t>
      </w:r>
      <w:r w:rsidR="00CF4EB7">
        <w:rPr>
          <w:rFonts w:ascii="Arial Narrow" w:hAnsi="Arial Narrow"/>
        </w:rPr>
        <w:t>.  Despite being underpinned by the same asset class, listed and unlisted asset</w:t>
      </w:r>
      <w:r w:rsidR="00042FC6">
        <w:rPr>
          <w:rFonts w:ascii="Arial Narrow" w:hAnsi="Arial Narrow"/>
        </w:rPr>
        <w:t>s</w:t>
      </w:r>
      <w:r w:rsidR="00CF4EB7">
        <w:rPr>
          <w:rFonts w:ascii="Arial Narrow" w:hAnsi="Arial Narrow"/>
        </w:rPr>
        <w:t xml:space="preserve"> have very different features that trade in </w:t>
      </w:r>
      <w:r w:rsidR="00D22219">
        <w:rPr>
          <w:rFonts w:ascii="Arial Narrow" w:hAnsi="Arial Narrow"/>
        </w:rPr>
        <w:t xml:space="preserve">distinctly </w:t>
      </w:r>
      <w:r w:rsidR="00CF4EB7">
        <w:rPr>
          <w:rFonts w:ascii="Arial Narrow" w:hAnsi="Arial Narrow"/>
        </w:rPr>
        <w:t>different markets</w:t>
      </w:r>
      <w:r w:rsidR="002E3B9F">
        <w:rPr>
          <w:rFonts w:ascii="Arial Narrow" w:hAnsi="Arial Narrow"/>
        </w:rPr>
        <w:t xml:space="preserve"> and have very different market participants</w:t>
      </w:r>
      <w:r w:rsidR="00CF4EB7">
        <w:rPr>
          <w:rFonts w:ascii="Arial Narrow" w:hAnsi="Arial Narrow"/>
        </w:rPr>
        <w:t>.</w:t>
      </w:r>
    </w:p>
    <w:p w14:paraId="002ACC47" w14:textId="0B1B0F93" w:rsidR="004953D6" w:rsidRDefault="00CF4EB7" w:rsidP="00863914">
      <w:pPr>
        <w:pStyle w:val="a3"/>
        <w:numPr>
          <w:ilvl w:val="0"/>
          <w:numId w:val="2"/>
        </w:numPr>
        <w:rPr>
          <w:rFonts w:ascii="Arial Narrow" w:hAnsi="Arial Narrow"/>
        </w:rPr>
      </w:pPr>
      <w:r>
        <w:rPr>
          <w:rFonts w:ascii="Arial Narrow" w:hAnsi="Arial Narrow"/>
        </w:rPr>
        <w:t>Valuers n</w:t>
      </w:r>
      <w:r w:rsidR="004953D6">
        <w:rPr>
          <w:rFonts w:ascii="Arial Narrow" w:hAnsi="Arial Narrow"/>
        </w:rPr>
        <w:t>eed to dive deeper with comparables relative to the subject asset</w:t>
      </w:r>
      <w:r w:rsidR="00325110">
        <w:rPr>
          <w:rFonts w:ascii="Arial Narrow" w:hAnsi="Arial Narrow"/>
        </w:rPr>
        <w:t>, spreading the nett a bit wider</w:t>
      </w:r>
      <w:r>
        <w:rPr>
          <w:rFonts w:ascii="Arial Narrow" w:hAnsi="Arial Narrow"/>
        </w:rPr>
        <w:t>, during time of little transaction activity.</w:t>
      </w:r>
    </w:p>
    <w:p w14:paraId="05F4512A" w14:textId="1D0E082C" w:rsidR="004953D6" w:rsidRPr="00CF4EB7" w:rsidRDefault="00CF4EB7" w:rsidP="00CF4EB7">
      <w:pPr>
        <w:pStyle w:val="a3"/>
        <w:numPr>
          <w:ilvl w:val="0"/>
          <w:numId w:val="2"/>
        </w:numPr>
        <w:rPr>
          <w:rFonts w:ascii="Arial Narrow" w:hAnsi="Arial Narrow"/>
        </w:rPr>
      </w:pPr>
      <w:r>
        <w:rPr>
          <w:rFonts w:ascii="Arial Narrow" w:hAnsi="Arial Narrow"/>
        </w:rPr>
        <w:t xml:space="preserve">Provides an opportunity </w:t>
      </w:r>
      <w:r w:rsidR="00D22219">
        <w:rPr>
          <w:rFonts w:ascii="Arial Narrow" w:hAnsi="Arial Narrow"/>
        </w:rPr>
        <w:t xml:space="preserve">and need </w:t>
      </w:r>
      <w:r>
        <w:rPr>
          <w:rFonts w:ascii="Arial Narrow" w:hAnsi="Arial Narrow"/>
        </w:rPr>
        <w:t>for v</w:t>
      </w:r>
      <w:r w:rsidR="00EE73F5">
        <w:rPr>
          <w:rFonts w:ascii="Arial Narrow" w:hAnsi="Arial Narrow"/>
        </w:rPr>
        <w:t xml:space="preserve">aluers to have deeper discussions with asset </w:t>
      </w:r>
      <w:r>
        <w:rPr>
          <w:rFonts w:ascii="Arial Narrow" w:hAnsi="Arial Narrow"/>
        </w:rPr>
        <w:t>owners/</w:t>
      </w:r>
      <w:r w:rsidR="00EE73F5">
        <w:rPr>
          <w:rFonts w:ascii="Arial Narrow" w:hAnsi="Arial Narrow"/>
        </w:rPr>
        <w:t>managers</w:t>
      </w:r>
      <w:r>
        <w:rPr>
          <w:rFonts w:ascii="Arial Narrow" w:hAnsi="Arial Narrow"/>
        </w:rPr>
        <w:t xml:space="preserve"> to probe deeper on assumptions utilised as part of the valuation.  Does the </w:t>
      </w:r>
      <w:r w:rsidR="00614A6A">
        <w:rPr>
          <w:rFonts w:ascii="Arial Narrow" w:hAnsi="Arial Narrow"/>
        </w:rPr>
        <w:t xml:space="preserve">subject </w:t>
      </w:r>
      <w:r>
        <w:rPr>
          <w:rFonts w:ascii="Arial Narrow" w:hAnsi="Arial Narrow"/>
        </w:rPr>
        <w:t>asset share the same risks or opportunities as others in the market, and how should this be reflected in value?  A v</w:t>
      </w:r>
      <w:r w:rsidR="004953D6" w:rsidRPr="00CF4EB7">
        <w:rPr>
          <w:rFonts w:ascii="Arial Narrow" w:hAnsi="Arial Narrow"/>
        </w:rPr>
        <w:t>olatile environment requires additional layer of challenge to forecasts and assumptions</w:t>
      </w:r>
      <w:r>
        <w:rPr>
          <w:rFonts w:ascii="Arial Narrow" w:hAnsi="Arial Narrow"/>
        </w:rPr>
        <w:t>.</w:t>
      </w:r>
    </w:p>
    <w:p w14:paraId="222C3A8F" w14:textId="1DB31F72" w:rsidR="00F86619" w:rsidRDefault="00F86619" w:rsidP="00863914">
      <w:pPr>
        <w:pStyle w:val="a3"/>
        <w:numPr>
          <w:ilvl w:val="0"/>
          <w:numId w:val="2"/>
        </w:numPr>
        <w:rPr>
          <w:rFonts w:ascii="Arial Narrow" w:hAnsi="Arial Narrow"/>
        </w:rPr>
      </w:pPr>
      <w:r>
        <w:rPr>
          <w:rFonts w:ascii="Arial Narrow" w:hAnsi="Arial Narrow"/>
        </w:rPr>
        <w:t>Is the volatility witnessed short-term or a permanent step-change</w:t>
      </w:r>
      <w:r w:rsidR="00CF4EB7">
        <w:rPr>
          <w:rFonts w:ascii="Arial Narrow" w:hAnsi="Arial Narrow"/>
        </w:rPr>
        <w:t>, and how is this being reflected in the valuation assumptions and outcome</w:t>
      </w:r>
      <w:r>
        <w:rPr>
          <w:rFonts w:ascii="Arial Narrow" w:hAnsi="Arial Narrow"/>
        </w:rPr>
        <w:t>?</w:t>
      </w:r>
    </w:p>
    <w:p w14:paraId="4C2545CE" w14:textId="4940CFE0" w:rsidR="00393837" w:rsidRPr="005547A7" w:rsidRDefault="00EE73F5" w:rsidP="00863914">
      <w:pPr>
        <w:pStyle w:val="a3"/>
        <w:numPr>
          <w:ilvl w:val="0"/>
          <w:numId w:val="2"/>
        </w:numPr>
        <w:rPr>
          <w:rFonts w:ascii="Arial Narrow" w:hAnsi="Arial Narrow"/>
        </w:rPr>
      </w:pPr>
      <w:r>
        <w:rPr>
          <w:rFonts w:ascii="Arial Narrow" w:hAnsi="Arial Narrow"/>
        </w:rPr>
        <w:t xml:space="preserve">Important that valuations remain grounded (and not divorced) </w:t>
      </w:r>
      <w:r w:rsidR="00393837">
        <w:rPr>
          <w:rFonts w:ascii="Arial Narrow" w:hAnsi="Arial Narrow"/>
        </w:rPr>
        <w:t>from</w:t>
      </w:r>
      <w:r>
        <w:rPr>
          <w:rFonts w:ascii="Arial Narrow" w:hAnsi="Arial Narrow"/>
        </w:rPr>
        <w:t xml:space="preserve"> reality</w:t>
      </w:r>
      <w:r w:rsidR="00CF4EB7">
        <w:rPr>
          <w:rFonts w:ascii="Arial Narrow" w:hAnsi="Arial Narrow"/>
        </w:rPr>
        <w:t xml:space="preserve"> … the psychology that impacts public markets might be completely removed from the realities of an asset on the grou</w:t>
      </w:r>
      <w:r w:rsidR="00393837">
        <w:rPr>
          <w:rFonts w:ascii="Arial Narrow" w:hAnsi="Arial Narrow"/>
        </w:rPr>
        <w:t>nd</w:t>
      </w:r>
      <w:r w:rsidR="00CF4EB7">
        <w:rPr>
          <w:rFonts w:ascii="Arial Narrow" w:hAnsi="Arial Narrow"/>
        </w:rPr>
        <w:t xml:space="preserve"> in both a buoyant and distressed market.</w:t>
      </w:r>
    </w:p>
    <w:p w14:paraId="050CFE63" w14:textId="4D1D7928" w:rsidR="00863914" w:rsidRDefault="00863914" w:rsidP="003C7490">
      <w:pPr>
        <w:pStyle w:val="1"/>
        <w:numPr>
          <w:ilvl w:val="0"/>
          <w:numId w:val="7"/>
        </w:numPr>
        <w:rPr>
          <w:rFonts w:ascii="Arial Narrow" w:hAnsi="Arial Narrow"/>
          <w:b/>
          <w:bCs/>
          <w:color w:val="000000" w:themeColor="text1"/>
          <w:sz w:val="22"/>
          <w:szCs w:val="22"/>
        </w:rPr>
      </w:pPr>
      <w:bookmarkStart w:id="18" w:name="_Toc134193130"/>
      <w:r w:rsidRPr="0026757D">
        <w:rPr>
          <w:rFonts w:ascii="Arial Narrow" w:hAnsi="Arial Narrow"/>
          <w:b/>
          <w:bCs/>
          <w:color w:val="000000" w:themeColor="text1"/>
          <w:sz w:val="22"/>
          <w:szCs w:val="22"/>
        </w:rPr>
        <w:t>How can governance handle this appropriately moving forward</w:t>
      </w:r>
      <w:r w:rsidR="000C0928" w:rsidRPr="0026757D">
        <w:rPr>
          <w:rFonts w:ascii="Arial Narrow" w:hAnsi="Arial Narrow"/>
          <w:b/>
          <w:bCs/>
          <w:color w:val="000000" w:themeColor="text1"/>
          <w:sz w:val="22"/>
          <w:szCs w:val="22"/>
        </w:rPr>
        <w:t>, and should directors feel comfortable about the situation</w:t>
      </w:r>
      <w:r w:rsidR="00325110" w:rsidRPr="0026757D">
        <w:rPr>
          <w:rFonts w:ascii="Arial Narrow" w:hAnsi="Arial Narrow"/>
          <w:b/>
          <w:bCs/>
          <w:color w:val="000000" w:themeColor="text1"/>
          <w:sz w:val="22"/>
          <w:szCs w:val="22"/>
        </w:rPr>
        <w:t>?</w:t>
      </w:r>
      <w:bookmarkEnd w:id="18"/>
    </w:p>
    <w:p w14:paraId="68450282" w14:textId="77777777" w:rsidR="0026757D" w:rsidRPr="0026757D" w:rsidRDefault="0026757D" w:rsidP="0026757D"/>
    <w:p w14:paraId="149435B8" w14:textId="7678AC7E" w:rsidR="000C1AE5" w:rsidRDefault="000C1AE5" w:rsidP="00863914">
      <w:pPr>
        <w:pStyle w:val="a3"/>
        <w:numPr>
          <w:ilvl w:val="0"/>
          <w:numId w:val="2"/>
        </w:numPr>
        <w:rPr>
          <w:rFonts w:ascii="Arial Narrow" w:hAnsi="Arial Narrow"/>
        </w:rPr>
      </w:pPr>
      <w:r>
        <w:rPr>
          <w:rFonts w:ascii="Arial Narrow" w:hAnsi="Arial Narrow"/>
        </w:rPr>
        <w:t xml:space="preserve">Governance in listed REITs: by performing and </w:t>
      </w:r>
      <w:r w:rsidR="007C645B">
        <w:rPr>
          <w:rFonts w:ascii="Arial Narrow" w:hAnsi="Arial Narrow"/>
        </w:rPr>
        <w:t xml:space="preserve">making </w:t>
      </w:r>
      <w:r>
        <w:rPr>
          <w:rFonts w:ascii="Arial Narrow" w:hAnsi="Arial Narrow"/>
        </w:rPr>
        <w:t xml:space="preserve">valuation outcomes </w:t>
      </w:r>
      <w:r w:rsidR="00F6711A">
        <w:rPr>
          <w:rFonts w:ascii="Arial Narrow" w:hAnsi="Arial Narrow"/>
        </w:rPr>
        <w:t>transparent</w:t>
      </w:r>
      <w:r w:rsidR="007C645B">
        <w:rPr>
          <w:rFonts w:ascii="Arial Narrow" w:hAnsi="Arial Narrow"/>
        </w:rPr>
        <w:t xml:space="preserve"> </w:t>
      </w:r>
      <w:r>
        <w:rPr>
          <w:rFonts w:ascii="Arial Narrow" w:hAnsi="Arial Narrow"/>
        </w:rPr>
        <w:t xml:space="preserve">to investors on a </w:t>
      </w:r>
      <w:r w:rsidR="00B90DF4">
        <w:rPr>
          <w:rFonts w:ascii="Arial Narrow" w:hAnsi="Arial Narrow"/>
        </w:rPr>
        <w:t>periodic</w:t>
      </w:r>
      <w:r>
        <w:rPr>
          <w:rFonts w:ascii="Arial Narrow" w:hAnsi="Arial Narrow"/>
        </w:rPr>
        <w:t xml:space="preserve"> basis, this is </w:t>
      </w:r>
      <w:r w:rsidR="00B90DF4">
        <w:rPr>
          <w:rFonts w:ascii="Arial Narrow" w:hAnsi="Arial Narrow"/>
        </w:rPr>
        <w:t xml:space="preserve">working effectively and </w:t>
      </w:r>
      <w:r>
        <w:rPr>
          <w:rFonts w:ascii="Arial Narrow" w:hAnsi="Arial Narrow"/>
        </w:rPr>
        <w:t>having exactly the impact i</w:t>
      </w:r>
      <w:r w:rsidR="00B90DF4">
        <w:rPr>
          <w:rFonts w:ascii="Arial Narrow" w:hAnsi="Arial Narrow"/>
        </w:rPr>
        <w:t>t</w:t>
      </w:r>
      <w:r>
        <w:rPr>
          <w:rFonts w:ascii="Arial Narrow" w:hAnsi="Arial Narrow"/>
        </w:rPr>
        <w:t xml:space="preserve"> was desi</w:t>
      </w:r>
      <w:r w:rsidR="00B90DF4">
        <w:rPr>
          <w:rFonts w:ascii="Arial Narrow" w:hAnsi="Arial Narrow"/>
        </w:rPr>
        <w:t>gned for</w:t>
      </w:r>
      <w:r>
        <w:rPr>
          <w:rFonts w:ascii="Arial Narrow" w:hAnsi="Arial Narrow"/>
        </w:rPr>
        <w:t>.  To provide investors with an indicator or underlying asset value that in absence of, they would be a far less informed investor.</w:t>
      </w:r>
      <w:r w:rsidR="00B90DF4">
        <w:rPr>
          <w:rFonts w:ascii="Arial Narrow" w:hAnsi="Arial Narrow"/>
        </w:rPr>
        <w:t xml:space="preserve">  This activity needs to be continued (or encouraged where absent).</w:t>
      </w:r>
    </w:p>
    <w:p w14:paraId="13F8C77F" w14:textId="5F97FAF1" w:rsidR="00863914" w:rsidRDefault="00863914" w:rsidP="00863914">
      <w:pPr>
        <w:pStyle w:val="a3"/>
        <w:numPr>
          <w:ilvl w:val="0"/>
          <w:numId w:val="2"/>
        </w:numPr>
        <w:rPr>
          <w:rFonts w:ascii="Arial Narrow" w:hAnsi="Arial Narrow"/>
        </w:rPr>
      </w:pPr>
      <w:r w:rsidRPr="00863914">
        <w:rPr>
          <w:rFonts w:ascii="Arial Narrow" w:hAnsi="Arial Narrow"/>
        </w:rPr>
        <w:t xml:space="preserve">Frequency of </w:t>
      </w:r>
      <w:proofErr w:type="gramStart"/>
      <w:r w:rsidRPr="00863914">
        <w:rPr>
          <w:rFonts w:ascii="Arial Narrow" w:hAnsi="Arial Narrow"/>
        </w:rPr>
        <w:t>valuation</w:t>
      </w:r>
      <w:r w:rsidR="00B90DF4">
        <w:rPr>
          <w:rFonts w:ascii="Arial Narrow" w:hAnsi="Arial Narrow"/>
        </w:rPr>
        <w:t>:</w:t>
      </w:r>
      <w:proofErr w:type="gramEnd"/>
      <w:r w:rsidR="00E271FF">
        <w:rPr>
          <w:rFonts w:ascii="Arial Narrow" w:hAnsi="Arial Narrow"/>
        </w:rPr>
        <w:t xml:space="preserve"> is annual enough or should quarterly or half yearly become standard.  Or should the onset of volatile markets provide a trigger for asset managers to mark-to-market more frequent</w:t>
      </w:r>
      <w:r w:rsidR="00B90DF4">
        <w:rPr>
          <w:rFonts w:ascii="Arial Narrow" w:hAnsi="Arial Narrow"/>
        </w:rPr>
        <w:t>ly</w:t>
      </w:r>
      <w:r w:rsidR="00E271FF">
        <w:rPr>
          <w:rFonts w:ascii="Arial Narrow" w:hAnsi="Arial Narrow"/>
        </w:rPr>
        <w:t>, balancing to valuation</w:t>
      </w:r>
      <w:r w:rsidR="00B90DF4">
        <w:rPr>
          <w:rFonts w:ascii="Arial Narrow" w:hAnsi="Arial Narrow"/>
        </w:rPr>
        <w:t>-to-</w:t>
      </w:r>
      <w:r w:rsidR="00E271FF">
        <w:rPr>
          <w:rFonts w:ascii="Arial Narrow" w:hAnsi="Arial Narrow"/>
        </w:rPr>
        <w:t>cost trade-off.</w:t>
      </w:r>
      <w:r w:rsidR="00B90DF4">
        <w:rPr>
          <w:rFonts w:ascii="Arial Narrow" w:hAnsi="Arial Narrow"/>
        </w:rPr>
        <w:t xml:space="preserve">  Could a listed volatility marker with the listed REIT market provide this indicator?</w:t>
      </w:r>
      <w:r w:rsidR="00513BC6">
        <w:rPr>
          <w:rFonts w:ascii="Arial Narrow" w:hAnsi="Arial Narrow"/>
        </w:rPr>
        <w:t xml:space="preserve">  Or alternatively, could </w:t>
      </w:r>
      <w:r w:rsidR="00876EEF">
        <w:rPr>
          <w:rFonts w:ascii="Arial Narrow" w:hAnsi="Arial Narrow"/>
        </w:rPr>
        <w:t>the development of a price indicator</w:t>
      </w:r>
      <w:r w:rsidR="001D5FE9">
        <w:rPr>
          <w:rFonts w:ascii="Arial Narrow" w:hAnsi="Arial Narrow"/>
        </w:rPr>
        <w:t xml:space="preserve"> (mentioned above) provide an indicator or trigger for an out-of-cycle revaluation process for unlisted assets?</w:t>
      </w:r>
    </w:p>
    <w:p w14:paraId="5AE8A891" w14:textId="4B67A5E8" w:rsidR="00863914" w:rsidRPr="00B90DF4" w:rsidRDefault="00B90DF4" w:rsidP="00B90DF4">
      <w:pPr>
        <w:pStyle w:val="a3"/>
        <w:numPr>
          <w:ilvl w:val="0"/>
          <w:numId w:val="2"/>
        </w:numPr>
        <w:rPr>
          <w:rFonts w:ascii="Arial Narrow" w:hAnsi="Arial Narrow"/>
        </w:rPr>
      </w:pPr>
      <w:r>
        <w:rPr>
          <w:rFonts w:ascii="Arial Narrow" w:hAnsi="Arial Narrow"/>
        </w:rPr>
        <w:t xml:space="preserve">Independence: </w:t>
      </w:r>
      <w:r w:rsidR="00E271FF">
        <w:rPr>
          <w:rFonts w:ascii="Arial Narrow" w:hAnsi="Arial Narrow"/>
        </w:rPr>
        <w:t>Are ‘internal’ valuations acceptable to investors, or should they demand independence and ‘externality’ in relation to valuations?</w:t>
      </w:r>
      <w:r>
        <w:rPr>
          <w:rFonts w:ascii="Arial Narrow" w:hAnsi="Arial Narrow"/>
        </w:rPr>
        <w:t xml:space="preserve">  </w:t>
      </w:r>
      <w:r w:rsidR="00863914" w:rsidRPr="00B90DF4">
        <w:rPr>
          <w:rFonts w:ascii="Arial Narrow" w:hAnsi="Arial Narrow"/>
        </w:rPr>
        <w:t>Independence of valu</w:t>
      </w:r>
      <w:r w:rsidR="00E271FF" w:rsidRPr="00B90DF4">
        <w:rPr>
          <w:rFonts w:ascii="Arial Narrow" w:hAnsi="Arial Narrow"/>
        </w:rPr>
        <w:t>ation firms</w:t>
      </w:r>
      <w:r w:rsidR="00325110" w:rsidRPr="00B90DF4">
        <w:rPr>
          <w:rFonts w:ascii="Arial Narrow" w:hAnsi="Arial Narrow"/>
        </w:rPr>
        <w:t xml:space="preserve"> and asset managers</w:t>
      </w:r>
      <w:r w:rsidR="00E271FF" w:rsidRPr="00B90DF4">
        <w:rPr>
          <w:rFonts w:ascii="Arial Narrow" w:hAnsi="Arial Narrow"/>
        </w:rPr>
        <w:t xml:space="preserve"> is paramount, and this needs to be governed carefully</w:t>
      </w:r>
      <w:r>
        <w:rPr>
          <w:rFonts w:ascii="Arial Narrow" w:hAnsi="Arial Narrow"/>
        </w:rPr>
        <w:t xml:space="preserve"> (</w:t>
      </w:r>
      <w:proofErr w:type="spellStart"/>
      <w:r>
        <w:rPr>
          <w:rFonts w:ascii="Arial Narrow" w:hAnsi="Arial Narrow"/>
        </w:rPr>
        <w:t>ie</w:t>
      </w:r>
      <w:proofErr w:type="spellEnd"/>
      <w:r>
        <w:rPr>
          <w:rFonts w:ascii="Arial Narrow" w:hAnsi="Arial Narrow"/>
        </w:rPr>
        <w:t>. the provision of valuation and non-valuation services)</w:t>
      </w:r>
      <w:r w:rsidR="00E271FF" w:rsidRPr="00B90DF4">
        <w:rPr>
          <w:rFonts w:ascii="Arial Narrow" w:hAnsi="Arial Narrow"/>
        </w:rPr>
        <w:t xml:space="preserve">.  </w:t>
      </w:r>
      <w:r w:rsidR="00863914" w:rsidRPr="00B90DF4">
        <w:rPr>
          <w:rFonts w:ascii="Arial Narrow" w:hAnsi="Arial Narrow"/>
        </w:rPr>
        <w:t>Rotation of valu</w:t>
      </w:r>
      <w:r w:rsidR="00E271FF" w:rsidRPr="00B90DF4">
        <w:rPr>
          <w:rFonts w:ascii="Arial Narrow" w:hAnsi="Arial Narrow"/>
        </w:rPr>
        <w:t>ation firm</w:t>
      </w:r>
      <w:r>
        <w:rPr>
          <w:rFonts w:ascii="Arial Narrow" w:hAnsi="Arial Narrow"/>
        </w:rPr>
        <w:t>s</w:t>
      </w:r>
      <w:r w:rsidR="00E271FF" w:rsidRPr="00B90DF4">
        <w:rPr>
          <w:rFonts w:ascii="Arial Narrow" w:hAnsi="Arial Narrow"/>
        </w:rPr>
        <w:t xml:space="preserve"> may be seen as one way of achieving this.</w:t>
      </w:r>
    </w:p>
    <w:p w14:paraId="31327860" w14:textId="1E9F5650" w:rsidR="00863914" w:rsidRDefault="00863914" w:rsidP="00863914">
      <w:pPr>
        <w:pStyle w:val="a3"/>
        <w:numPr>
          <w:ilvl w:val="0"/>
          <w:numId w:val="2"/>
        </w:numPr>
        <w:rPr>
          <w:rFonts w:ascii="Arial Narrow" w:hAnsi="Arial Narrow"/>
        </w:rPr>
      </w:pPr>
      <w:r w:rsidRPr="00863914">
        <w:rPr>
          <w:rFonts w:ascii="Arial Narrow" w:hAnsi="Arial Narrow"/>
        </w:rPr>
        <w:t>Transparency of valuations</w:t>
      </w:r>
      <w:r w:rsidR="00B90DF4">
        <w:rPr>
          <w:rFonts w:ascii="Arial Narrow" w:hAnsi="Arial Narrow"/>
        </w:rPr>
        <w:t>: what level of transparency are investors right to demand of asset managers?  Is a value, valuation date and capitalisation rate enough, or should there be more metrics that are disclosed to investors to give greater comfort around valuation credibility</w:t>
      </w:r>
      <w:r w:rsidR="00393837">
        <w:rPr>
          <w:rFonts w:ascii="Arial Narrow" w:hAnsi="Arial Narrow"/>
        </w:rPr>
        <w:t xml:space="preserve"> without having to fully disclose the full valuation report</w:t>
      </w:r>
      <w:r w:rsidR="00B90DF4">
        <w:rPr>
          <w:rFonts w:ascii="Arial Narrow" w:hAnsi="Arial Narrow"/>
        </w:rPr>
        <w:t>?</w:t>
      </w:r>
      <w:r w:rsidR="00EF700A">
        <w:rPr>
          <w:rFonts w:ascii="Arial Narrow" w:hAnsi="Arial Narrow"/>
        </w:rPr>
        <w:t xml:space="preserve">  </w:t>
      </w:r>
      <w:r w:rsidR="006577F5">
        <w:rPr>
          <w:rFonts w:ascii="Arial Narrow" w:hAnsi="Arial Narrow"/>
        </w:rPr>
        <w:t xml:space="preserve">Just as </w:t>
      </w:r>
      <w:r w:rsidR="00EF700A">
        <w:rPr>
          <w:rFonts w:ascii="Arial Narrow" w:hAnsi="Arial Narrow"/>
        </w:rPr>
        <w:t>accounting transparency</w:t>
      </w:r>
      <w:r w:rsidR="006577F5">
        <w:rPr>
          <w:rFonts w:ascii="Arial Narrow" w:hAnsi="Arial Narrow"/>
        </w:rPr>
        <w:t xml:space="preserve"> has come </w:t>
      </w:r>
      <w:proofErr w:type="spellStart"/>
      <w:r w:rsidR="006577F5">
        <w:rPr>
          <w:rFonts w:ascii="Arial Narrow" w:hAnsi="Arial Narrow"/>
        </w:rPr>
        <w:t>along</w:t>
      </w:r>
      <w:proofErr w:type="spellEnd"/>
      <w:r w:rsidR="006577F5">
        <w:rPr>
          <w:rFonts w:ascii="Arial Narrow" w:hAnsi="Arial Narrow"/>
        </w:rPr>
        <w:t xml:space="preserve"> way in recent decades through the implementation of </w:t>
      </w:r>
      <w:r w:rsidR="00AD231C">
        <w:rPr>
          <w:rFonts w:ascii="Arial Narrow" w:hAnsi="Arial Narrow"/>
        </w:rPr>
        <w:t xml:space="preserve">international accounting standards, perhaps the valuation profession is also on the </w:t>
      </w:r>
      <w:r w:rsidR="007B4665">
        <w:rPr>
          <w:rFonts w:ascii="Arial Narrow" w:hAnsi="Arial Narrow"/>
        </w:rPr>
        <w:t>verge</w:t>
      </w:r>
      <w:r w:rsidR="00AD231C">
        <w:rPr>
          <w:rFonts w:ascii="Arial Narrow" w:hAnsi="Arial Narrow"/>
        </w:rPr>
        <w:t xml:space="preserve"> </w:t>
      </w:r>
      <w:r w:rsidR="007B4665">
        <w:rPr>
          <w:rFonts w:ascii="Arial Narrow" w:hAnsi="Arial Narrow"/>
        </w:rPr>
        <w:t>of a similar change.  The soundings from investors in the market are that they want more transparency in relation to valuation of assets, and not less.</w:t>
      </w:r>
      <w:r w:rsidR="00D83056">
        <w:rPr>
          <w:rFonts w:ascii="Arial Narrow" w:hAnsi="Arial Narrow"/>
        </w:rPr>
        <w:t xml:space="preserve">  How can regulators, asset managers and the valuation profession work together to deliver this transparency?</w:t>
      </w:r>
    </w:p>
    <w:p w14:paraId="4254A15A" w14:textId="381BF505" w:rsidR="00B90DF4" w:rsidRDefault="00B90DF4" w:rsidP="00B90DF4">
      <w:pPr>
        <w:pStyle w:val="a3"/>
        <w:numPr>
          <w:ilvl w:val="0"/>
          <w:numId w:val="2"/>
        </w:numPr>
        <w:rPr>
          <w:rFonts w:ascii="Arial Narrow" w:hAnsi="Arial Narrow"/>
        </w:rPr>
      </w:pPr>
      <w:r>
        <w:rPr>
          <w:rFonts w:ascii="Arial Narrow" w:hAnsi="Arial Narrow"/>
        </w:rPr>
        <w:t>Time to acknowledge that arbitrage and bargain asset purchase opportunities might exist</w:t>
      </w:r>
      <w:r w:rsidR="00393837">
        <w:rPr>
          <w:rFonts w:ascii="Arial Narrow" w:hAnsi="Arial Narrow"/>
        </w:rPr>
        <w:t xml:space="preserve"> in some market situations</w:t>
      </w:r>
      <w:r>
        <w:rPr>
          <w:rFonts w:ascii="Arial Narrow" w:hAnsi="Arial Narrow"/>
        </w:rPr>
        <w:t xml:space="preserve">: </w:t>
      </w:r>
      <w:r w:rsidR="000C0928">
        <w:rPr>
          <w:rFonts w:ascii="Arial Narrow" w:hAnsi="Arial Narrow"/>
        </w:rPr>
        <w:t>Where s</w:t>
      </w:r>
      <w:r w:rsidR="000C0928" w:rsidRPr="00863914">
        <w:rPr>
          <w:rFonts w:ascii="Arial Narrow" w:hAnsi="Arial Narrow"/>
        </w:rPr>
        <w:t xml:space="preserve">ignificant discounts </w:t>
      </w:r>
      <w:r w:rsidR="000C0928">
        <w:rPr>
          <w:rFonts w:ascii="Arial Narrow" w:hAnsi="Arial Narrow"/>
        </w:rPr>
        <w:t xml:space="preserve">are </w:t>
      </w:r>
      <w:r w:rsidR="000C0928" w:rsidRPr="00863914">
        <w:rPr>
          <w:rFonts w:ascii="Arial Narrow" w:hAnsi="Arial Narrow"/>
        </w:rPr>
        <w:t>witnessed in public markets</w:t>
      </w:r>
      <w:r w:rsidR="000C0928">
        <w:rPr>
          <w:rFonts w:ascii="Arial Narrow" w:hAnsi="Arial Narrow"/>
        </w:rPr>
        <w:t xml:space="preserve">, it may provide </w:t>
      </w:r>
      <w:r w:rsidR="000C0928" w:rsidRPr="00863914">
        <w:rPr>
          <w:rFonts w:ascii="Arial Narrow" w:hAnsi="Arial Narrow"/>
        </w:rPr>
        <w:t>an example of what might constitute a bargain asset purchase</w:t>
      </w:r>
      <w:r>
        <w:rPr>
          <w:rFonts w:ascii="Arial Narrow" w:hAnsi="Arial Narrow"/>
        </w:rPr>
        <w:t xml:space="preserve"> or an arbitrage opportunity for the active investor.</w:t>
      </w:r>
    </w:p>
    <w:p w14:paraId="7156743E" w14:textId="0AA65C7B" w:rsidR="000C0928" w:rsidRPr="00B90DF4" w:rsidRDefault="00B90DF4" w:rsidP="00B90DF4">
      <w:pPr>
        <w:pStyle w:val="a3"/>
        <w:numPr>
          <w:ilvl w:val="0"/>
          <w:numId w:val="2"/>
        </w:numPr>
        <w:rPr>
          <w:rFonts w:ascii="Arial Narrow" w:hAnsi="Arial Narrow"/>
        </w:rPr>
      </w:pPr>
      <w:r>
        <w:rPr>
          <w:rFonts w:ascii="Arial Narrow" w:hAnsi="Arial Narrow"/>
        </w:rPr>
        <w:t xml:space="preserve">This isn’t necessarily just a real estate and infrastructure issue: </w:t>
      </w:r>
      <w:r w:rsidR="000C0928" w:rsidRPr="00B90DF4">
        <w:rPr>
          <w:rFonts w:ascii="Arial Narrow" w:hAnsi="Arial Narrow"/>
        </w:rPr>
        <w:t xml:space="preserve">At the end of the day, volatile markets present opportunities on both sides of the ledger for those that </w:t>
      </w:r>
      <w:r w:rsidR="00B62539" w:rsidRPr="00B90DF4">
        <w:rPr>
          <w:rFonts w:ascii="Arial Narrow" w:hAnsi="Arial Narrow"/>
        </w:rPr>
        <w:t>remain vigilant</w:t>
      </w:r>
      <w:r>
        <w:rPr>
          <w:rFonts w:ascii="Arial Narrow" w:hAnsi="Arial Narrow"/>
        </w:rPr>
        <w:t xml:space="preserve"> in all asset classes</w:t>
      </w:r>
      <w:r w:rsidR="00B62539" w:rsidRPr="00B90DF4">
        <w:rPr>
          <w:rFonts w:ascii="Arial Narrow" w:hAnsi="Arial Narrow"/>
        </w:rPr>
        <w:t>.</w:t>
      </w:r>
    </w:p>
    <w:p w14:paraId="584E92E7" w14:textId="14422C8D" w:rsidR="00393837" w:rsidRPr="005547A7" w:rsidRDefault="00155370" w:rsidP="00462C92">
      <w:pPr>
        <w:pStyle w:val="a3"/>
        <w:numPr>
          <w:ilvl w:val="0"/>
          <w:numId w:val="2"/>
        </w:numPr>
        <w:rPr>
          <w:rFonts w:ascii="Arial Narrow" w:hAnsi="Arial Narrow"/>
        </w:rPr>
      </w:pPr>
      <w:r>
        <w:rPr>
          <w:rFonts w:ascii="Arial Narrow" w:hAnsi="Arial Narrow"/>
        </w:rPr>
        <w:lastRenderedPageBreak/>
        <w:t xml:space="preserve">Time to acknowledge the difference: </w:t>
      </w:r>
      <w:r w:rsidR="00B62539">
        <w:rPr>
          <w:rFonts w:ascii="Arial Narrow" w:hAnsi="Arial Narrow"/>
        </w:rPr>
        <w:t>Regardless of the product that individuals invest in</w:t>
      </w:r>
      <w:r w:rsidR="00B90DF4">
        <w:rPr>
          <w:rFonts w:ascii="Arial Narrow" w:hAnsi="Arial Narrow"/>
        </w:rPr>
        <w:t xml:space="preserve"> (listed or unlisted)</w:t>
      </w:r>
      <w:r w:rsidR="00B62539">
        <w:rPr>
          <w:rFonts w:ascii="Arial Narrow" w:hAnsi="Arial Narrow"/>
        </w:rPr>
        <w:t>, the current environment provides a friendly reminder to ensure that the investment product matches the needs of the investor</w:t>
      </w:r>
      <w:r w:rsidR="00B90DF4">
        <w:rPr>
          <w:rFonts w:ascii="Arial Narrow" w:hAnsi="Arial Narrow"/>
        </w:rPr>
        <w:t xml:space="preserve">.  Listed and unlisted products, despite being underpinned by the same asset class, will have specific features that mean returns might not necessarily be correlated.  </w:t>
      </w:r>
      <w:r w:rsidR="00D87E12" w:rsidRPr="00B90DF4">
        <w:rPr>
          <w:rFonts w:ascii="Arial Narrow" w:hAnsi="Arial Narrow"/>
        </w:rPr>
        <w:t>Investment choice remains key, and the</w:t>
      </w:r>
      <w:r w:rsidR="00393837">
        <w:rPr>
          <w:rFonts w:ascii="Arial Narrow" w:hAnsi="Arial Narrow"/>
        </w:rPr>
        <w:t>re</w:t>
      </w:r>
      <w:r w:rsidR="00D87E12" w:rsidRPr="00B90DF4">
        <w:rPr>
          <w:rFonts w:ascii="Arial Narrow" w:hAnsi="Arial Narrow"/>
        </w:rPr>
        <w:t xml:space="preserve"> will continue to be </w:t>
      </w:r>
      <w:proofErr w:type="gramStart"/>
      <w:r w:rsidR="00D87E12" w:rsidRPr="00B90DF4">
        <w:rPr>
          <w:rFonts w:ascii="Arial Narrow" w:hAnsi="Arial Narrow"/>
        </w:rPr>
        <w:t>pro’s</w:t>
      </w:r>
      <w:proofErr w:type="gramEnd"/>
      <w:r w:rsidR="00D87E12" w:rsidRPr="00B90DF4">
        <w:rPr>
          <w:rFonts w:ascii="Arial Narrow" w:hAnsi="Arial Narrow"/>
        </w:rPr>
        <w:t xml:space="preserve"> and </w:t>
      </w:r>
      <w:proofErr w:type="spellStart"/>
      <w:r w:rsidR="00D87E12" w:rsidRPr="00B90DF4">
        <w:rPr>
          <w:rFonts w:ascii="Arial Narrow" w:hAnsi="Arial Narrow"/>
        </w:rPr>
        <w:t>con’s</w:t>
      </w:r>
      <w:proofErr w:type="spellEnd"/>
      <w:r w:rsidR="00D87E12" w:rsidRPr="00B90DF4">
        <w:rPr>
          <w:rFonts w:ascii="Arial Narrow" w:hAnsi="Arial Narrow"/>
        </w:rPr>
        <w:t xml:space="preserve"> </w:t>
      </w:r>
      <w:r w:rsidR="00393837">
        <w:rPr>
          <w:rFonts w:ascii="Arial Narrow" w:hAnsi="Arial Narrow"/>
        </w:rPr>
        <w:t xml:space="preserve">of “real estate” and “infrastructure” </w:t>
      </w:r>
      <w:r w:rsidR="00D87E12" w:rsidRPr="00B90DF4">
        <w:rPr>
          <w:rFonts w:ascii="Arial Narrow" w:hAnsi="Arial Narrow"/>
        </w:rPr>
        <w:t>in both listed and unlisted environments</w:t>
      </w:r>
      <w:r w:rsidR="00B90DF4">
        <w:rPr>
          <w:rFonts w:ascii="Arial Narrow" w:hAnsi="Arial Narrow"/>
        </w:rPr>
        <w:t>.</w:t>
      </w:r>
    </w:p>
    <w:p w14:paraId="6A96C3BF" w14:textId="77777777" w:rsidR="00D25BFA" w:rsidRDefault="00842C7F" w:rsidP="003C7490">
      <w:pPr>
        <w:pStyle w:val="1"/>
        <w:numPr>
          <w:ilvl w:val="0"/>
          <w:numId w:val="7"/>
        </w:numPr>
        <w:rPr>
          <w:rFonts w:ascii="Arial Narrow" w:hAnsi="Arial Narrow"/>
          <w:b/>
          <w:bCs/>
          <w:color w:val="000000" w:themeColor="text1"/>
          <w:sz w:val="22"/>
          <w:szCs w:val="22"/>
        </w:rPr>
      </w:pPr>
      <w:bookmarkStart w:id="19" w:name="_Toc134193131"/>
      <w:r>
        <w:rPr>
          <w:rFonts w:ascii="Arial Narrow" w:hAnsi="Arial Narrow"/>
          <w:b/>
          <w:bCs/>
          <w:color w:val="000000" w:themeColor="text1"/>
          <w:sz w:val="22"/>
          <w:szCs w:val="22"/>
        </w:rPr>
        <w:t>The role of the IVSC</w:t>
      </w:r>
      <w:r w:rsidR="00D25BFA">
        <w:rPr>
          <w:rFonts w:ascii="Arial Narrow" w:hAnsi="Arial Narrow"/>
          <w:b/>
          <w:bCs/>
          <w:color w:val="000000" w:themeColor="text1"/>
          <w:sz w:val="22"/>
          <w:szCs w:val="22"/>
        </w:rPr>
        <w:t xml:space="preserve"> regarding the topic</w:t>
      </w:r>
      <w:bookmarkEnd w:id="19"/>
    </w:p>
    <w:p w14:paraId="3D17B20E" w14:textId="77777777" w:rsidR="001412F5" w:rsidRPr="003C7490" w:rsidRDefault="001412F5" w:rsidP="001412F5">
      <w:pPr>
        <w:ind w:left="360"/>
      </w:pPr>
    </w:p>
    <w:p w14:paraId="13AAD23D" w14:textId="49B3D1E6" w:rsidR="00D25BFA" w:rsidRDefault="00A05401" w:rsidP="002B1FA1">
      <w:pPr>
        <w:pStyle w:val="a3"/>
        <w:numPr>
          <w:ilvl w:val="0"/>
          <w:numId w:val="10"/>
        </w:numPr>
        <w:rPr>
          <w:rFonts w:ascii="Arial Narrow" w:hAnsi="Arial Narrow"/>
        </w:rPr>
      </w:pPr>
      <w:r>
        <w:rPr>
          <w:rFonts w:ascii="Arial Narrow" w:hAnsi="Arial Narrow"/>
        </w:rPr>
        <w:t>Given th</w:t>
      </w:r>
      <w:r w:rsidR="00161F70">
        <w:rPr>
          <w:rFonts w:ascii="Arial Narrow" w:hAnsi="Arial Narrow"/>
        </w:rPr>
        <w:t>at th</w:t>
      </w:r>
      <w:r>
        <w:rPr>
          <w:rFonts w:ascii="Arial Narrow" w:hAnsi="Arial Narrow"/>
        </w:rPr>
        <w:t xml:space="preserve">e </w:t>
      </w:r>
      <w:r w:rsidR="00161F70">
        <w:rPr>
          <w:rFonts w:ascii="Arial Narrow" w:hAnsi="Arial Narrow"/>
        </w:rPr>
        <w:t xml:space="preserve">trust in the valuation profession is being questions, </w:t>
      </w:r>
      <w:r w:rsidR="001364F4">
        <w:rPr>
          <w:rFonts w:ascii="Arial Narrow" w:hAnsi="Arial Narrow"/>
        </w:rPr>
        <w:t>all IVSC boards should consult to consider issuing a perspectives paper on the issue in the first instance.</w:t>
      </w:r>
      <w:r w:rsidR="00287DA9">
        <w:rPr>
          <w:rFonts w:ascii="Arial Narrow" w:hAnsi="Arial Narrow"/>
        </w:rPr>
        <w:t xml:space="preserve">  This is an issue that has crossover with each of the TAB, BV, </w:t>
      </w:r>
      <w:proofErr w:type="gramStart"/>
      <w:r w:rsidR="00287DA9">
        <w:rPr>
          <w:rFonts w:ascii="Arial Narrow" w:hAnsi="Arial Narrow"/>
        </w:rPr>
        <w:t>FI</w:t>
      </w:r>
      <w:proofErr w:type="gramEnd"/>
      <w:r w:rsidR="00287DA9">
        <w:rPr>
          <w:rFonts w:ascii="Arial Narrow" w:hAnsi="Arial Narrow"/>
        </w:rPr>
        <w:t xml:space="preserve"> and SR</w:t>
      </w:r>
      <w:r w:rsidR="005547A7">
        <w:rPr>
          <w:rFonts w:ascii="Arial Narrow" w:hAnsi="Arial Narrow"/>
        </w:rPr>
        <w:t>B</w:t>
      </w:r>
      <w:r w:rsidR="00F25380">
        <w:rPr>
          <w:rFonts w:ascii="Arial Narrow" w:hAnsi="Arial Narrow"/>
        </w:rPr>
        <w:t xml:space="preserve"> Boards, so full engagement at an IVSC level should be </w:t>
      </w:r>
      <w:r w:rsidR="00D64AC8">
        <w:rPr>
          <w:rFonts w:ascii="Arial Narrow" w:hAnsi="Arial Narrow"/>
        </w:rPr>
        <w:t>encouraged.</w:t>
      </w:r>
    </w:p>
    <w:p w14:paraId="45C92A28" w14:textId="2671338A" w:rsidR="00D64AC8" w:rsidRDefault="00A20B74" w:rsidP="002B1FA1">
      <w:pPr>
        <w:pStyle w:val="a3"/>
        <w:numPr>
          <w:ilvl w:val="0"/>
          <w:numId w:val="10"/>
        </w:numPr>
        <w:rPr>
          <w:rFonts w:ascii="Arial Narrow" w:hAnsi="Arial Narrow"/>
        </w:rPr>
      </w:pPr>
      <w:r>
        <w:rPr>
          <w:rFonts w:ascii="Arial Narrow" w:hAnsi="Arial Narrow"/>
        </w:rPr>
        <w:t xml:space="preserve">Whilst there isn’t a solution as such, the consideration of each of the above </w:t>
      </w:r>
      <w:r w:rsidR="005B0E55">
        <w:rPr>
          <w:rFonts w:ascii="Arial Narrow" w:hAnsi="Arial Narrow"/>
        </w:rPr>
        <w:t>discussion points should provide a broad framework for the internal consultation on the topic with each of the IVSC Boards.</w:t>
      </w:r>
    </w:p>
    <w:p w14:paraId="571B2621" w14:textId="0E0B2EAC" w:rsidR="005B0E55" w:rsidRDefault="005B0E55" w:rsidP="002B1FA1">
      <w:pPr>
        <w:pStyle w:val="a3"/>
        <w:numPr>
          <w:ilvl w:val="0"/>
          <w:numId w:val="10"/>
        </w:numPr>
        <w:rPr>
          <w:rFonts w:ascii="Arial Narrow" w:hAnsi="Arial Narrow"/>
        </w:rPr>
      </w:pPr>
      <w:r>
        <w:rPr>
          <w:rFonts w:ascii="Arial Narrow" w:hAnsi="Arial Narrow"/>
        </w:rPr>
        <w:t xml:space="preserve">There is a timeliness component in relation to the topic in that it is very prominent now, and with 30 June reporting deadlines looming (for </w:t>
      </w:r>
      <w:proofErr w:type="gramStart"/>
      <w:r>
        <w:rPr>
          <w:rFonts w:ascii="Arial Narrow" w:hAnsi="Arial Narrow"/>
        </w:rPr>
        <w:t>a number of</w:t>
      </w:r>
      <w:proofErr w:type="gramEnd"/>
      <w:r>
        <w:rPr>
          <w:rFonts w:ascii="Arial Narrow" w:hAnsi="Arial Narrow"/>
        </w:rPr>
        <w:t xml:space="preserve"> </w:t>
      </w:r>
      <w:r w:rsidR="005547A7">
        <w:rPr>
          <w:rFonts w:ascii="Arial Narrow" w:hAnsi="Arial Narrow"/>
        </w:rPr>
        <w:t>jurisdictions</w:t>
      </w:r>
      <w:r>
        <w:rPr>
          <w:rFonts w:ascii="Arial Narrow" w:hAnsi="Arial Narrow"/>
        </w:rPr>
        <w:t>)</w:t>
      </w:r>
      <w:r w:rsidR="00530E39">
        <w:rPr>
          <w:rFonts w:ascii="Arial Narrow" w:hAnsi="Arial Narrow"/>
        </w:rPr>
        <w:t xml:space="preserve">, it is important that we get this to market over the coming weeks.  In order to do </w:t>
      </w:r>
      <w:proofErr w:type="gramStart"/>
      <w:r w:rsidR="00530E39">
        <w:rPr>
          <w:rFonts w:ascii="Arial Narrow" w:hAnsi="Arial Narrow"/>
        </w:rPr>
        <w:t>this</w:t>
      </w:r>
      <w:proofErr w:type="gramEnd"/>
      <w:r w:rsidR="00530E39">
        <w:rPr>
          <w:rFonts w:ascii="Arial Narrow" w:hAnsi="Arial Narrow"/>
        </w:rPr>
        <w:t xml:space="preserve"> however, there clearly needs to be an alignment</w:t>
      </w:r>
      <w:r w:rsidR="0084699A">
        <w:rPr>
          <w:rFonts w:ascii="Arial Narrow" w:hAnsi="Arial Narrow"/>
        </w:rPr>
        <w:t xml:space="preserve"> in the content that is published between all the IVSC Boards.</w:t>
      </w:r>
    </w:p>
    <w:p w14:paraId="1F277C6D" w14:textId="71ED08EC" w:rsidR="0084699A" w:rsidRDefault="0084699A" w:rsidP="002B1FA1">
      <w:pPr>
        <w:pStyle w:val="a3"/>
        <w:numPr>
          <w:ilvl w:val="0"/>
          <w:numId w:val="10"/>
        </w:numPr>
        <w:rPr>
          <w:rFonts w:ascii="Arial Narrow" w:hAnsi="Arial Narrow"/>
        </w:rPr>
      </w:pPr>
      <w:commentRangeStart w:id="20"/>
      <w:r>
        <w:rPr>
          <w:rFonts w:ascii="Arial Narrow" w:hAnsi="Arial Narrow"/>
        </w:rPr>
        <w:t xml:space="preserve">Following the </w:t>
      </w:r>
      <w:r w:rsidR="00C66322">
        <w:rPr>
          <w:rFonts w:ascii="Arial Narrow" w:hAnsi="Arial Narrow"/>
        </w:rPr>
        <w:t>publishing of a perspectives paper, and depending upon the market feedback, it could be an opportune time to hold a round-table discussion on the topic with key stakeholders</w:t>
      </w:r>
      <w:commentRangeEnd w:id="20"/>
      <w:r w:rsidR="004D3E3A">
        <w:rPr>
          <w:rStyle w:val="ac"/>
        </w:rPr>
        <w:commentReference w:id="20"/>
      </w:r>
      <w:r w:rsidR="00C66322">
        <w:rPr>
          <w:rFonts w:ascii="Arial Narrow" w:hAnsi="Arial Narrow"/>
        </w:rPr>
        <w:t>.</w:t>
      </w:r>
      <w:r w:rsidR="00BC1DA7">
        <w:rPr>
          <w:rFonts w:ascii="Arial Narrow" w:hAnsi="Arial Narrow"/>
        </w:rPr>
        <w:t xml:space="preserve">  There would likely be interest from most jurisdiction around the world given the prominence of media attention the topic is getting.</w:t>
      </w:r>
    </w:p>
    <w:p w14:paraId="13042067" w14:textId="17D1FFCC" w:rsidR="00BC1DA7" w:rsidRDefault="00BC1DA7" w:rsidP="002B1FA1">
      <w:pPr>
        <w:pStyle w:val="a3"/>
        <w:numPr>
          <w:ilvl w:val="0"/>
          <w:numId w:val="10"/>
        </w:numPr>
        <w:rPr>
          <w:rFonts w:ascii="Arial Narrow" w:hAnsi="Arial Narrow"/>
        </w:rPr>
      </w:pPr>
      <w:r>
        <w:rPr>
          <w:rFonts w:ascii="Arial Narrow" w:hAnsi="Arial Narrow"/>
        </w:rPr>
        <w:t xml:space="preserve">Conscious that the IVSC </w:t>
      </w:r>
      <w:r w:rsidR="00487E33">
        <w:rPr>
          <w:rFonts w:ascii="Arial Narrow" w:hAnsi="Arial Narrow"/>
        </w:rPr>
        <w:t xml:space="preserve">is seen to provide an independent and unbiased opinion, despite our vested interest in the valuation profession.  </w:t>
      </w:r>
      <w:r w:rsidR="00457501">
        <w:rPr>
          <w:rFonts w:ascii="Arial Narrow" w:hAnsi="Arial Narrow"/>
        </w:rPr>
        <w:t xml:space="preserve">This is </w:t>
      </w:r>
      <w:proofErr w:type="gramStart"/>
      <w:r w:rsidR="00457501">
        <w:rPr>
          <w:rFonts w:ascii="Arial Narrow" w:hAnsi="Arial Narrow"/>
        </w:rPr>
        <w:t>really important</w:t>
      </w:r>
      <w:proofErr w:type="gramEnd"/>
      <w:r w:rsidR="00457501">
        <w:rPr>
          <w:rFonts w:ascii="Arial Narrow" w:hAnsi="Arial Narrow"/>
        </w:rPr>
        <w:t xml:space="preserve"> from a IVSC brand perspective.</w:t>
      </w:r>
    </w:p>
    <w:p w14:paraId="03B0104B" w14:textId="414449A2" w:rsidR="00D64AC8" w:rsidRPr="005547A7" w:rsidRDefault="005D63DF" w:rsidP="005547A7">
      <w:pPr>
        <w:pStyle w:val="a3"/>
        <w:numPr>
          <w:ilvl w:val="0"/>
          <w:numId w:val="10"/>
        </w:numPr>
        <w:rPr>
          <w:rFonts w:ascii="Arial Narrow" w:hAnsi="Arial Narrow"/>
        </w:rPr>
      </w:pPr>
      <w:r>
        <w:rPr>
          <w:rFonts w:ascii="Arial Narrow" w:hAnsi="Arial Narrow"/>
        </w:rPr>
        <w:t xml:space="preserve">Each of the </w:t>
      </w:r>
      <w:r w:rsidR="00D24AB6">
        <w:rPr>
          <w:rFonts w:ascii="Arial Narrow" w:hAnsi="Arial Narrow"/>
        </w:rPr>
        <w:t>above is consistent with the IVSC</w:t>
      </w:r>
      <w:r w:rsidR="00512536">
        <w:rPr>
          <w:rFonts w:ascii="Arial Narrow" w:hAnsi="Arial Narrow"/>
        </w:rPr>
        <w:t>’s overarching</w:t>
      </w:r>
      <w:r w:rsidR="00D24AB6">
        <w:rPr>
          <w:rFonts w:ascii="Arial Narrow" w:hAnsi="Arial Narrow"/>
        </w:rPr>
        <w:t xml:space="preserve"> mission to</w:t>
      </w:r>
      <w:r w:rsidR="002F3B4E">
        <w:rPr>
          <w:rFonts w:ascii="Arial Narrow" w:hAnsi="Arial Narrow"/>
        </w:rPr>
        <w:t xml:space="preserve"> i) </w:t>
      </w:r>
      <w:r w:rsidR="00D24AB6" w:rsidRPr="002F3B4E">
        <w:rPr>
          <w:rFonts w:ascii="Arial Narrow" w:hAnsi="Arial Narrow"/>
        </w:rPr>
        <w:t>“</w:t>
      </w:r>
      <w:r w:rsidR="0099448B" w:rsidRPr="002F3B4E">
        <w:rPr>
          <w:rFonts w:ascii="Arial Narrow" w:hAnsi="Arial Narrow"/>
        </w:rPr>
        <w:t>build trust in valuation”</w:t>
      </w:r>
      <w:r w:rsidR="002F3B4E">
        <w:rPr>
          <w:rFonts w:ascii="Arial Narrow" w:hAnsi="Arial Narrow"/>
        </w:rPr>
        <w:t>, ii)</w:t>
      </w:r>
      <w:r w:rsidR="002E443F">
        <w:rPr>
          <w:rFonts w:ascii="Arial Narrow" w:hAnsi="Arial Narrow"/>
        </w:rPr>
        <w:t xml:space="preserve"> </w:t>
      </w:r>
      <w:r w:rsidR="0099448B" w:rsidRPr="002E443F">
        <w:rPr>
          <w:rFonts w:ascii="Arial Narrow" w:hAnsi="Arial Narrow"/>
        </w:rPr>
        <w:t>“</w:t>
      </w:r>
      <w:r w:rsidR="00606413" w:rsidRPr="002E443F">
        <w:rPr>
          <w:rFonts w:ascii="Arial Narrow" w:hAnsi="Arial Narrow"/>
        </w:rPr>
        <w:t>enhance the quality and credibility of valuation practices worldwide</w:t>
      </w:r>
      <w:r w:rsidR="009C0A27" w:rsidRPr="002E443F">
        <w:rPr>
          <w:rFonts w:ascii="Arial Narrow" w:hAnsi="Arial Narrow"/>
        </w:rPr>
        <w:t>”</w:t>
      </w:r>
      <w:r w:rsidR="002E443F">
        <w:rPr>
          <w:rFonts w:ascii="Arial Narrow" w:hAnsi="Arial Narrow"/>
        </w:rPr>
        <w:t xml:space="preserve"> and iii) </w:t>
      </w:r>
      <w:r w:rsidR="009C0A27" w:rsidRPr="002E443F">
        <w:rPr>
          <w:rFonts w:ascii="Arial Narrow" w:hAnsi="Arial Narrow"/>
        </w:rPr>
        <w:t>“</w:t>
      </w:r>
      <w:r w:rsidR="00512536" w:rsidRPr="002E443F">
        <w:rPr>
          <w:rFonts w:ascii="Arial Narrow" w:hAnsi="Arial Narrow"/>
        </w:rPr>
        <w:t>serve the public interest”.</w:t>
      </w:r>
    </w:p>
    <w:p w14:paraId="29AAAEC5" w14:textId="42DD292B" w:rsidR="00462C92" w:rsidRDefault="00782443" w:rsidP="003C7490">
      <w:pPr>
        <w:pStyle w:val="1"/>
        <w:numPr>
          <w:ilvl w:val="0"/>
          <w:numId w:val="7"/>
        </w:numPr>
        <w:rPr>
          <w:rFonts w:ascii="Arial Narrow" w:hAnsi="Arial Narrow"/>
          <w:b/>
          <w:bCs/>
          <w:color w:val="000000" w:themeColor="text1"/>
          <w:sz w:val="22"/>
          <w:szCs w:val="22"/>
        </w:rPr>
      </w:pPr>
      <w:bookmarkStart w:id="21" w:name="_Toc134193132"/>
      <w:r w:rsidRPr="0026757D">
        <w:rPr>
          <w:rFonts w:ascii="Arial Narrow" w:hAnsi="Arial Narrow"/>
          <w:b/>
          <w:bCs/>
          <w:color w:val="000000" w:themeColor="text1"/>
          <w:sz w:val="22"/>
          <w:szCs w:val="22"/>
        </w:rPr>
        <w:t>Other thoughts</w:t>
      </w:r>
      <w:r w:rsidR="00101BE5" w:rsidRPr="0026757D">
        <w:rPr>
          <w:rFonts w:ascii="Arial Narrow" w:hAnsi="Arial Narrow"/>
          <w:b/>
          <w:bCs/>
          <w:color w:val="000000" w:themeColor="text1"/>
          <w:sz w:val="22"/>
          <w:szCs w:val="22"/>
        </w:rPr>
        <w:t xml:space="preserve">, </w:t>
      </w:r>
      <w:proofErr w:type="gramStart"/>
      <w:r w:rsidR="00101BE5" w:rsidRPr="0026757D">
        <w:rPr>
          <w:rFonts w:ascii="Arial Narrow" w:hAnsi="Arial Narrow"/>
          <w:b/>
          <w:bCs/>
          <w:color w:val="000000" w:themeColor="text1"/>
          <w:sz w:val="22"/>
          <w:szCs w:val="22"/>
        </w:rPr>
        <w:t>quotes</w:t>
      </w:r>
      <w:proofErr w:type="gramEnd"/>
      <w:r w:rsidRPr="0026757D">
        <w:rPr>
          <w:rFonts w:ascii="Arial Narrow" w:hAnsi="Arial Narrow"/>
          <w:b/>
          <w:bCs/>
          <w:color w:val="000000" w:themeColor="text1"/>
          <w:sz w:val="22"/>
          <w:szCs w:val="22"/>
        </w:rPr>
        <w:t xml:space="preserve"> and content?</w:t>
      </w:r>
      <w:bookmarkEnd w:id="21"/>
    </w:p>
    <w:p w14:paraId="131A3992" w14:textId="77777777" w:rsidR="0026757D" w:rsidRPr="0026757D" w:rsidRDefault="0026757D" w:rsidP="0026757D"/>
    <w:p w14:paraId="4A4DDF6B" w14:textId="54EC975B" w:rsidR="00462C92" w:rsidRDefault="00782443" w:rsidP="00782443">
      <w:pPr>
        <w:pStyle w:val="a3"/>
        <w:numPr>
          <w:ilvl w:val="0"/>
          <w:numId w:val="5"/>
        </w:numPr>
        <w:rPr>
          <w:rFonts w:ascii="Arial Narrow" w:hAnsi="Arial Narrow"/>
        </w:rPr>
      </w:pPr>
      <w:commentRangeStart w:id="22"/>
      <w:r>
        <w:rPr>
          <w:rFonts w:ascii="Arial Narrow" w:hAnsi="Arial Narrow"/>
        </w:rPr>
        <w:t>Property</w:t>
      </w:r>
      <w:r w:rsidR="00462C92" w:rsidRPr="00782443">
        <w:rPr>
          <w:rFonts w:ascii="Arial Narrow" w:hAnsi="Arial Narrow"/>
        </w:rPr>
        <w:t xml:space="preserve"> C</w:t>
      </w:r>
      <w:r>
        <w:rPr>
          <w:rFonts w:ascii="Arial Narrow" w:hAnsi="Arial Narrow"/>
        </w:rPr>
        <w:t>ouncil</w:t>
      </w:r>
      <w:r w:rsidR="00462C92" w:rsidRPr="00782443">
        <w:rPr>
          <w:rFonts w:ascii="Arial Narrow" w:hAnsi="Arial Narrow"/>
        </w:rPr>
        <w:t xml:space="preserve"> </w:t>
      </w:r>
      <w:r>
        <w:rPr>
          <w:rFonts w:ascii="Arial Narrow" w:hAnsi="Arial Narrow"/>
        </w:rPr>
        <w:t>of</w:t>
      </w:r>
      <w:r w:rsidR="00462C92" w:rsidRPr="00782443">
        <w:rPr>
          <w:rFonts w:ascii="Arial Narrow" w:hAnsi="Arial Narrow"/>
        </w:rPr>
        <w:t xml:space="preserve"> A</w:t>
      </w:r>
      <w:r>
        <w:rPr>
          <w:rFonts w:ascii="Arial Narrow" w:hAnsi="Arial Narrow"/>
        </w:rPr>
        <w:t>ustralia</w:t>
      </w:r>
      <w:r w:rsidR="00462C92" w:rsidRPr="00782443">
        <w:rPr>
          <w:rFonts w:ascii="Arial Narrow" w:hAnsi="Arial Narrow"/>
        </w:rPr>
        <w:t xml:space="preserve"> </w:t>
      </w:r>
      <w:commentRangeEnd w:id="22"/>
      <w:r w:rsidR="004D3E3A">
        <w:rPr>
          <w:rStyle w:val="ac"/>
        </w:rPr>
        <w:commentReference w:id="22"/>
      </w:r>
      <w:r>
        <w:rPr>
          <w:rFonts w:ascii="Arial Narrow" w:hAnsi="Arial Narrow"/>
        </w:rPr>
        <w:t xml:space="preserve">reports 5-year annualised </w:t>
      </w:r>
      <w:r w:rsidR="00A51712">
        <w:rPr>
          <w:rFonts w:ascii="Arial Narrow" w:hAnsi="Arial Narrow"/>
        </w:rPr>
        <w:t xml:space="preserve">total </w:t>
      </w:r>
      <w:r>
        <w:rPr>
          <w:rFonts w:ascii="Arial Narrow" w:hAnsi="Arial Narrow"/>
        </w:rPr>
        <w:t xml:space="preserve">returns </w:t>
      </w:r>
      <w:r w:rsidR="00A51712">
        <w:rPr>
          <w:rFonts w:ascii="Arial Narrow" w:hAnsi="Arial Narrow"/>
        </w:rPr>
        <w:t xml:space="preserve">to June 2022 </w:t>
      </w:r>
      <w:r>
        <w:rPr>
          <w:rFonts w:ascii="Arial Narrow" w:hAnsi="Arial Narrow"/>
        </w:rPr>
        <w:t xml:space="preserve">for unlisted retail property </w:t>
      </w:r>
      <w:r w:rsidR="00A51712">
        <w:rPr>
          <w:rFonts w:ascii="Arial Narrow" w:hAnsi="Arial Narrow"/>
        </w:rPr>
        <w:t xml:space="preserve">funds </w:t>
      </w:r>
      <w:r>
        <w:rPr>
          <w:rFonts w:ascii="Arial Narrow" w:hAnsi="Arial Narrow"/>
        </w:rPr>
        <w:t>at 16.6% versus equivalent listed property returns over that same period of 1.7%.</w:t>
      </w:r>
    </w:p>
    <w:p w14:paraId="13776636" w14:textId="5576A798" w:rsidR="00101BE5" w:rsidRPr="00782443" w:rsidRDefault="00101BE5" w:rsidP="00782443">
      <w:pPr>
        <w:pStyle w:val="a3"/>
        <w:numPr>
          <w:ilvl w:val="0"/>
          <w:numId w:val="5"/>
        </w:numPr>
        <w:rPr>
          <w:rFonts w:ascii="Arial Narrow" w:hAnsi="Arial Narrow"/>
        </w:rPr>
      </w:pPr>
      <w:r>
        <w:rPr>
          <w:rFonts w:ascii="Arial Narrow" w:hAnsi="Arial Narrow"/>
        </w:rPr>
        <w:t>“</w:t>
      </w:r>
      <w:proofErr w:type="gramStart"/>
      <w:r w:rsidRPr="00101BE5">
        <w:rPr>
          <w:rFonts w:ascii="Arial Narrow" w:hAnsi="Arial Narrow"/>
        </w:rPr>
        <w:t>unlisted</w:t>
      </w:r>
      <w:proofErr w:type="gramEnd"/>
      <w:r w:rsidRPr="00101BE5">
        <w:rPr>
          <w:rFonts w:ascii="Arial Narrow" w:hAnsi="Arial Narrow"/>
        </w:rPr>
        <w:t xml:space="preserve"> property funds recorded gains of nearly 19 per cent in the first nine months of 2022, in stark contrast to the nearly 20 per cent drop in the valuation of listed property funds, based on figures from the Property Council of Australia.</w:t>
      </w:r>
      <w:r>
        <w:rPr>
          <w:rFonts w:ascii="Arial Narrow" w:hAnsi="Arial Narrow"/>
        </w:rPr>
        <w:t>”</w:t>
      </w:r>
    </w:p>
    <w:p w14:paraId="3991EE27" w14:textId="58349414" w:rsidR="00A51712" w:rsidRDefault="00462C92" w:rsidP="00462C92">
      <w:pPr>
        <w:pStyle w:val="a3"/>
        <w:numPr>
          <w:ilvl w:val="0"/>
          <w:numId w:val="5"/>
        </w:numPr>
        <w:rPr>
          <w:rFonts w:ascii="Arial Narrow" w:hAnsi="Arial Narrow"/>
        </w:rPr>
      </w:pPr>
      <w:r w:rsidRPr="00A51712">
        <w:rPr>
          <w:rFonts w:ascii="Arial Narrow" w:hAnsi="Arial Narrow"/>
        </w:rPr>
        <w:t>P</w:t>
      </w:r>
      <w:r w:rsidR="00A51712" w:rsidRPr="00A51712">
        <w:rPr>
          <w:rFonts w:ascii="Arial Narrow" w:hAnsi="Arial Narrow"/>
        </w:rPr>
        <w:t>w</w:t>
      </w:r>
      <w:r w:rsidRPr="00A51712">
        <w:rPr>
          <w:rFonts w:ascii="Arial Narrow" w:hAnsi="Arial Narrow"/>
        </w:rPr>
        <w:t>C G</w:t>
      </w:r>
      <w:r w:rsidR="00A51712" w:rsidRPr="00A51712">
        <w:rPr>
          <w:rFonts w:ascii="Arial Narrow" w:hAnsi="Arial Narrow"/>
        </w:rPr>
        <w:t>ermany</w:t>
      </w:r>
      <w:r w:rsidRPr="00A51712">
        <w:rPr>
          <w:rFonts w:ascii="Arial Narrow" w:hAnsi="Arial Narrow"/>
        </w:rPr>
        <w:t xml:space="preserve"> R</w:t>
      </w:r>
      <w:r w:rsidR="00A51712" w:rsidRPr="00A51712">
        <w:rPr>
          <w:rFonts w:ascii="Arial Narrow" w:hAnsi="Arial Narrow"/>
        </w:rPr>
        <w:t>eal Estate Monitor</w:t>
      </w:r>
      <w:r w:rsidR="007B5A10">
        <w:rPr>
          <w:rFonts w:ascii="Arial Narrow" w:hAnsi="Arial Narrow"/>
        </w:rPr>
        <w:t xml:space="preserve"> (</w:t>
      </w:r>
      <w:r w:rsidR="007B5A10" w:rsidRPr="007B5A10">
        <w:rPr>
          <w:rFonts w:ascii="Arial Narrow" w:hAnsi="Arial Narrow"/>
        </w:rPr>
        <w:t>https://www.pwc.de/en/real-estate/real-estate-monitor.html</w:t>
      </w:r>
      <w:r w:rsidR="007B5A10">
        <w:rPr>
          <w:rFonts w:ascii="Arial Narrow" w:hAnsi="Arial Narrow"/>
        </w:rPr>
        <w:t>)</w:t>
      </w:r>
    </w:p>
    <w:p w14:paraId="0020F162" w14:textId="2F4E5E71" w:rsidR="00863914" w:rsidRPr="005547A7" w:rsidRDefault="00A51712" w:rsidP="005547A7">
      <w:pPr>
        <w:pStyle w:val="a3"/>
        <w:numPr>
          <w:ilvl w:val="0"/>
          <w:numId w:val="5"/>
        </w:numPr>
        <w:rPr>
          <w:rFonts w:ascii="Arial Narrow" w:hAnsi="Arial Narrow"/>
        </w:rPr>
      </w:pPr>
      <w:r>
        <w:rPr>
          <w:rFonts w:ascii="Arial Narrow" w:hAnsi="Arial Narrow"/>
        </w:rPr>
        <w:t>Acknowledgement</w:t>
      </w:r>
      <w:r w:rsidR="00DD59DD" w:rsidRPr="00A51712">
        <w:rPr>
          <w:rFonts w:ascii="Arial Narrow" w:hAnsi="Arial Narrow"/>
        </w:rPr>
        <w:t xml:space="preserve"> </w:t>
      </w:r>
      <w:r>
        <w:rPr>
          <w:rFonts w:ascii="Arial Narrow" w:hAnsi="Arial Narrow"/>
        </w:rPr>
        <w:t>of ‘liquidity’ and</w:t>
      </w:r>
      <w:r w:rsidR="00DD59DD" w:rsidRPr="00A51712">
        <w:rPr>
          <w:rFonts w:ascii="Arial Narrow" w:hAnsi="Arial Narrow"/>
        </w:rPr>
        <w:t xml:space="preserve"> </w:t>
      </w:r>
      <w:r>
        <w:rPr>
          <w:rFonts w:ascii="Arial Narrow" w:hAnsi="Arial Narrow"/>
        </w:rPr>
        <w:t>‘control’ as being a core reason for the difference in value.  Liquidity detracts significantly in a listed structure in that psychology rules the room (and not rational thought process), and control results in many large corporate and institutional investors favouring private assets as opposed to listed equivalents.</w:t>
      </w:r>
    </w:p>
    <w:p w14:paraId="79A3AF7F" w14:textId="556E323E" w:rsidR="00863914" w:rsidRDefault="004F6880" w:rsidP="003C7490">
      <w:pPr>
        <w:pStyle w:val="1"/>
        <w:numPr>
          <w:ilvl w:val="0"/>
          <w:numId w:val="7"/>
        </w:numPr>
        <w:rPr>
          <w:rFonts w:ascii="Arial Narrow" w:hAnsi="Arial Narrow"/>
          <w:b/>
          <w:bCs/>
          <w:color w:val="000000" w:themeColor="text1"/>
          <w:sz w:val="22"/>
          <w:szCs w:val="22"/>
        </w:rPr>
      </w:pPr>
      <w:bookmarkStart w:id="23" w:name="_Toc134193133"/>
      <w:r w:rsidRPr="0026757D">
        <w:rPr>
          <w:rFonts w:ascii="Arial Narrow" w:hAnsi="Arial Narrow"/>
          <w:b/>
          <w:bCs/>
          <w:color w:val="000000" w:themeColor="text1"/>
          <w:sz w:val="22"/>
          <w:szCs w:val="22"/>
        </w:rPr>
        <w:t>Original TAB/BVB p</w:t>
      </w:r>
      <w:r w:rsidR="00863914" w:rsidRPr="0026757D">
        <w:rPr>
          <w:rFonts w:ascii="Arial Narrow" w:hAnsi="Arial Narrow"/>
          <w:b/>
          <w:bCs/>
          <w:color w:val="000000" w:themeColor="text1"/>
          <w:sz w:val="22"/>
          <w:szCs w:val="22"/>
        </w:rPr>
        <w:t>anel discussion topics</w:t>
      </w:r>
      <w:bookmarkEnd w:id="23"/>
      <w:r w:rsidR="002E443F">
        <w:rPr>
          <w:rFonts w:ascii="Arial Narrow" w:hAnsi="Arial Narrow"/>
          <w:b/>
          <w:bCs/>
          <w:color w:val="000000" w:themeColor="text1"/>
          <w:sz w:val="22"/>
          <w:szCs w:val="22"/>
        </w:rPr>
        <w:t xml:space="preserve"> from Sydney meeting</w:t>
      </w:r>
    </w:p>
    <w:p w14:paraId="551A1072" w14:textId="77777777" w:rsidR="003C7490" w:rsidRPr="003C7490" w:rsidRDefault="003C7490" w:rsidP="003C7490"/>
    <w:p w14:paraId="06818812" w14:textId="6F608028" w:rsidR="002B5A0F" w:rsidRPr="004F6880" w:rsidRDefault="002B5A0F" w:rsidP="004F6880">
      <w:pPr>
        <w:pStyle w:val="a3"/>
        <w:numPr>
          <w:ilvl w:val="0"/>
          <w:numId w:val="5"/>
        </w:numPr>
        <w:rPr>
          <w:rFonts w:ascii="Arial Narrow" w:hAnsi="Arial Narrow"/>
        </w:rPr>
      </w:pPr>
      <w:commentRangeStart w:id="24"/>
      <w:r w:rsidRPr="00863914">
        <w:rPr>
          <w:rFonts w:ascii="Arial Narrow" w:hAnsi="Arial Narrow"/>
        </w:rPr>
        <w:t>Public markets are always right in determining value</w:t>
      </w:r>
      <w:r w:rsidR="00BB4461" w:rsidRPr="00863914">
        <w:rPr>
          <w:rFonts w:ascii="Arial Narrow" w:hAnsi="Arial Narrow"/>
        </w:rPr>
        <w:t xml:space="preserve"> (role of independent experts reports, Ti</w:t>
      </w:r>
      <w:r w:rsidR="00E27200" w:rsidRPr="00863914">
        <w:rPr>
          <w:rFonts w:ascii="Arial Narrow" w:hAnsi="Arial Narrow"/>
        </w:rPr>
        <w:t>lt Renewables, control premiums</w:t>
      </w:r>
      <w:r w:rsidR="00BB4461" w:rsidRPr="00863914">
        <w:rPr>
          <w:rFonts w:ascii="Arial Narrow" w:hAnsi="Arial Narrow"/>
        </w:rPr>
        <w:t>, ASIC recent guidance on using market capitalisation</w:t>
      </w:r>
      <w:r w:rsidR="00E27200" w:rsidRPr="00863914">
        <w:rPr>
          <w:rFonts w:ascii="Arial Narrow" w:hAnsi="Arial Narrow"/>
        </w:rPr>
        <w:t>)</w:t>
      </w:r>
      <w:r w:rsidRPr="00863914">
        <w:rPr>
          <w:rFonts w:ascii="Arial Narrow" w:hAnsi="Arial Narrow"/>
        </w:rPr>
        <w:t xml:space="preserve">? Or do public markets occasionally act </w:t>
      </w:r>
      <w:commentRangeEnd w:id="24"/>
      <w:r w:rsidR="00262710">
        <w:rPr>
          <w:rStyle w:val="ac"/>
        </w:rPr>
        <w:commentReference w:id="24"/>
      </w:r>
      <w:r w:rsidRPr="00863914">
        <w:rPr>
          <w:rFonts w:ascii="Arial Narrow" w:hAnsi="Arial Narrow"/>
        </w:rPr>
        <w:t xml:space="preserve">with elements of irrationality, </w:t>
      </w:r>
      <w:proofErr w:type="gramStart"/>
      <w:r w:rsidRPr="00863914">
        <w:rPr>
          <w:rFonts w:ascii="Arial Narrow" w:hAnsi="Arial Narrow"/>
        </w:rPr>
        <w:t>panic</w:t>
      </w:r>
      <w:proofErr w:type="gramEnd"/>
      <w:r w:rsidRPr="00863914">
        <w:rPr>
          <w:rFonts w:ascii="Arial Narrow" w:hAnsi="Arial Narrow"/>
        </w:rPr>
        <w:t xml:space="preserve"> or exuberance, and as a result infer price and not value?</w:t>
      </w:r>
    </w:p>
    <w:p w14:paraId="75ED391D" w14:textId="45197589" w:rsidR="002B5A0F" w:rsidRPr="004F6880" w:rsidRDefault="002B5A0F" w:rsidP="004F6880">
      <w:pPr>
        <w:pStyle w:val="a3"/>
        <w:numPr>
          <w:ilvl w:val="0"/>
          <w:numId w:val="5"/>
        </w:numPr>
        <w:rPr>
          <w:rFonts w:ascii="Arial Narrow" w:hAnsi="Arial Narrow"/>
        </w:rPr>
      </w:pPr>
      <w:r w:rsidRPr="00863914">
        <w:rPr>
          <w:rFonts w:ascii="Arial Narrow" w:hAnsi="Arial Narrow"/>
        </w:rPr>
        <w:lastRenderedPageBreak/>
        <w:t xml:space="preserve">There is justification for public market and private market values to be divergent because of the instrument being traded despite </w:t>
      </w:r>
      <w:r w:rsidR="00E27200" w:rsidRPr="00863914">
        <w:rPr>
          <w:rFonts w:ascii="Arial Narrow" w:hAnsi="Arial Narrow"/>
        </w:rPr>
        <w:t>having</w:t>
      </w:r>
      <w:r w:rsidRPr="00863914">
        <w:rPr>
          <w:rFonts w:ascii="Arial Narrow" w:hAnsi="Arial Narrow"/>
        </w:rPr>
        <w:t xml:space="preserve"> an interest in the same asset class (</w:t>
      </w:r>
      <w:proofErr w:type="spellStart"/>
      <w:r w:rsidRPr="00863914">
        <w:rPr>
          <w:rFonts w:ascii="Arial Narrow" w:hAnsi="Arial Narrow"/>
        </w:rPr>
        <w:t>ie</w:t>
      </w:r>
      <w:proofErr w:type="spellEnd"/>
      <w:r w:rsidRPr="00863914">
        <w:rPr>
          <w:rFonts w:ascii="Arial Narrow" w:hAnsi="Arial Narrow"/>
        </w:rPr>
        <w:t>. share in public markets versus land title in private markets, each transact in different markets and have different market participants</w:t>
      </w:r>
      <w:r w:rsidR="00F2240E" w:rsidRPr="00863914">
        <w:rPr>
          <w:rFonts w:ascii="Arial Narrow" w:hAnsi="Arial Narrow"/>
        </w:rPr>
        <w:t>, different leverage ratios</w:t>
      </w:r>
      <w:r w:rsidR="00222829" w:rsidRPr="00863914">
        <w:rPr>
          <w:rFonts w:ascii="Arial Narrow" w:hAnsi="Arial Narrow"/>
        </w:rPr>
        <w:t xml:space="preserve">, </w:t>
      </w:r>
      <w:r w:rsidR="003222D2" w:rsidRPr="00863914">
        <w:rPr>
          <w:rFonts w:ascii="Arial Narrow" w:hAnsi="Arial Narrow"/>
        </w:rPr>
        <w:t>liquidity/access is contouring why they were introduced</w:t>
      </w:r>
      <w:r w:rsidRPr="00863914">
        <w:rPr>
          <w:rFonts w:ascii="Arial Narrow" w:hAnsi="Arial Narrow"/>
        </w:rPr>
        <w:t>)?</w:t>
      </w:r>
    </w:p>
    <w:p w14:paraId="2F689EDF" w14:textId="5205B759" w:rsidR="002B5A0F" w:rsidRPr="004F6880" w:rsidRDefault="002B5A0F" w:rsidP="004F6880">
      <w:pPr>
        <w:pStyle w:val="a3"/>
        <w:numPr>
          <w:ilvl w:val="0"/>
          <w:numId w:val="5"/>
        </w:numPr>
        <w:rPr>
          <w:rFonts w:ascii="Arial Narrow" w:hAnsi="Arial Narrow"/>
        </w:rPr>
      </w:pPr>
      <w:r w:rsidRPr="00863914">
        <w:rPr>
          <w:rFonts w:ascii="Arial Narrow" w:hAnsi="Arial Narrow"/>
        </w:rPr>
        <w:t xml:space="preserve">It is fair to suggest that private markets </w:t>
      </w:r>
      <w:r w:rsidR="00ED1C48" w:rsidRPr="00863914">
        <w:rPr>
          <w:rFonts w:ascii="Arial Narrow" w:hAnsi="Arial Narrow"/>
        </w:rPr>
        <w:t>normally</w:t>
      </w:r>
      <w:r w:rsidRPr="00863914">
        <w:rPr>
          <w:rFonts w:ascii="Arial Narrow" w:hAnsi="Arial Narrow"/>
        </w:rPr>
        <w:t xml:space="preserve"> lag price indicators given by public markets (</w:t>
      </w:r>
      <w:proofErr w:type="spellStart"/>
      <w:r w:rsidRPr="00863914">
        <w:rPr>
          <w:rFonts w:ascii="Arial Narrow" w:hAnsi="Arial Narrow"/>
        </w:rPr>
        <w:t>ie</w:t>
      </w:r>
      <w:proofErr w:type="spellEnd"/>
      <w:r w:rsidRPr="00863914">
        <w:rPr>
          <w:rFonts w:ascii="Arial Narrow" w:hAnsi="Arial Narrow"/>
        </w:rPr>
        <w:t>. delays in market evidence becoming available)?</w:t>
      </w:r>
    </w:p>
    <w:p w14:paraId="01A145FE" w14:textId="3BA32720" w:rsidR="002B5A0F" w:rsidRPr="004F6880" w:rsidRDefault="002B5A0F" w:rsidP="004F6880">
      <w:pPr>
        <w:pStyle w:val="a3"/>
        <w:numPr>
          <w:ilvl w:val="0"/>
          <w:numId w:val="5"/>
        </w:numPr>
        <w:rPr>
          <w:rFonts w:ascii="Arial Narrow" w:hAnsi="Arial Narrow"/>
        </w:rPr>
      </w:pPr>
      <w:r w:rsidRPr="00863914">
        <w:rPr>
          <w:rFonts w:ascii="Arial Narrow" w:hAnsi="Arial Narrow"/>
        </w:rPr>
        <w:t>Do the significant discounts occasionally witnessed in the public markets provide an example of what might constitute a bargain asset purchase?</w:t>
      </w:r>
    </w:p>
    <w:p w14:paraId="72B44131" w14:textId="6DC20DAD" w:rsidR="002B5A0F" w:rsidRPr="004F6880" w:rsidRDefault="002B5A0F" w:rsidP="004F6880">
      <w:pPr>
        <w:pStyle w:val="a3"/>
        <w:numPr>
          <w:ilvl w:val="0"/>
          <w:numId w:val="5"/>
        </w:numPr>
        <w:rPr>
          <w:rFonts w:ascii="Arial Narrow" w:hAnsi="Arial Narrow"/>
        </w:rPr>
      </w:pPr>
      <w:r w:rsidRPr="00863914">
        <w:rPr>
          <w:rFonts w:ascii="Arial Narrow" w:hAnsi="Arial Narrow"/>
        </w:rPr>
        <w:t>Is the wave of private capital in certain markets, combined with the performance metrics of asset managers that reward outperformance and consistent/low volatility returns, creating an environment for certain asset classes where capital is disproportionately skewed or inefficiently allocated?</w:t>
      </w:r>
    </w:p>
    <w:p w14:paraId="41CA3E17" w14:textId="01D87054" w:rsidR="004961AF" w:rsidRPr="00863914" w:rsidRDefault="002B5A0F" w:rsidP="004F6880">
      <w:pPr>
        <w:pStyle w:val="a3"/>
        <w:numPr>
          <w:ilvl w:val="0"/>
          <w:numId w:val="5"/>
        </w:numPr>
        <w:rPr>
          <w:rFonts w:ascii="Arial Narrow" w:hAnsi="Arial Narrow"/>
        </w:rPr>
      </w:pPr>
      <w:r w:rsidRPr="00863914">
        <w:rPr>
          <w:rFonts w:ascii="Arial Narrow" w:hAnsi="Arial Narrow"/>
        </w:rPr>
        <w:t>Are valuation service providers, and in turn the IVSC, doing all that it can to encourage transparency and promote trust in relation to the valuation of private market assets, or could we be doing more (perhaps in conjunction with regulators)?</w:t>
      </w:r>
    </w:p>
    <w:sectPr w:rsidR="004961AF" w:rsidRPr="00863914">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רון כהן" w:date="2023-05-06T10:47:00Z" w:initials="רכ">
    <w:p w14:paraId="5EDF4D40" w14:textId="77777777" w:rsidR="00A64EE8" w:rsidRDefault="00A64EE8" w:rsidP="00E504A4">
      <w:r>
        <w:rPr>
          <w:rStyle w:val="ac"/>
        </w:rPr>
        <w:annotationRef/>
      </w:r>
      <w:r>
        <w:rPr>
          <w:color w:val="000000"/>
          <w:sz w:val="20"/>
          <w:szCs w:val="20"/>
        </w:rPr>
        <w:t>Smoothing should be differentiated from lagging, the two are different effects</w:t>
      </w:r>
    </w:p>
  </w:comment>
  <w:comment w:id="7" w:author="רון כהן" w:date="2023-05-06T10:50:00Z" w:initials="רכ">
    <w:p w14:paraId="6C8E4A74" w14:textId="77777777" w:rsidR="00A64EE8" w:rsidRDefault="00A64EE8" w:rsidP="00160622">
      <w:r>
        <w:rPr>
          <w:rStyle w:val="ac"/>
        </w:rPr>
        <w:annotationRef/>
      </w:r>
      <w:r>
        <w:rPr>
          <w:color w:val="000000"/>
          <w:sz w:val="20"/>
          <w:szCs w:val="20"/>
        </w:rPr>
        <w:t>How does this relate to the questions raised by the working group on ‘Prudential Value’? We should make sure we are not being contradictory.</w:t>
      </w:r>
    </w:p>
  </w:comment>
  <w:comment w:id="10" w:author="רון כהן" w:date="2023-05-06T10:56:00Z" w:initials="רכ">
    <w:p w14:paraId="3F42B39E" w14:textId="77777777" w:rsidR="00A64EE8" w:rsidRDefault="00A64EE8" w:rsidP="00AE5BA8">
      <w:r>
        <w:rPr>
          <w:rStyle w:val="ac"/>
        </w:rPr>
        <w:annotationRef/>
      </w:r>
      <w:r>
        <w:rPr>
          <w:color w:val="000000"/>
          <w:sz w:val="20"/>
          <w:szCs w:val="20"/>
        </w:rPr>
        <w:t>Direct capitalisation could be viewed as a special case of DCF. If current income is perceived to be sustainable and/or there are few tenants, direct capitalisation  should suffice and, being simpler, might be preferable. Otherwise, a DCF approach might be better. So a question of context and should be a matter of valuer’s judgement.</w:t>
      </w:r>
    </w:p>
  </w:comment>
  <w:comment w:id="11" w:author="רון כהן" w:date="2023-05-06T11:03:00Z" w:initials="רכ">
    <w:p w14:paraId="4D5C6841" w14:textId="77777777" w:rsidR="000601DB" w:rsidRDefault="000601DB" w:rsidP="002A15EF">
      <w:r>
        <w:rPr>
          <w:rStyle w:val="ac"/>
        </w:rPr>
        <w:annotationRef/>
      </w:r>
      <w:r>
        <w:rPr>
          <w:color w:val="000000"/>
          <w:sz w:val="20"/>
          <w:szCs w:val="20"/>
        </w:rPr>
        <w:t>According to Baum, Crosby and Devaney (2022) this is incorrect.  The reason WACC should not be used is that company WACC rarely aligns with that of an individual property. The RICS practice paper on DCF (forthcoming) suggests two approaches to forming the discount rate: 1) a bottom up approach starting with the risk free rate for Investment Value valuations ; 2) A cap rate + growth rate approach for Market Value. This aligns DCF even more clearly with direct capitalisation (see previous comment)</w:t>
      </w:r>
    </w:p>
  </w:comment>
  <w:comment w:id="12" w:author="רון כהן" w:date="2023-05-06T11:08:00Z" w:initials="רכ">
    <w:p w14:paraId="4CB255A7" w14:textId="77777777" w:rsidR="00B6461C" w:rsidRDefault="00B6461C" w:rsidP="004F33D0">
      <w:r>
        <w:rPr>
          <w:rStyle w:val="ac"/>
        </w:rPr>
        <w:annotationRef/>
      </w:r>
      <w:r>
        <w:rPr>
          <w:sz w:val="20"/>
          <w:szCs w:val="20"/>
        </w:rPr>
        <w:t>See previous comment. Hinges upon whether you are valuing IV or MV</w:t>
      </w:r>
    </w:p>
  </w:comment>
  <w:comment w:id="13" w:author="רון כהן" w:date="2023-05-06T11:06:00Z" w:initials="רכ">
    <w:p w14:paraId="5D1E913F" w14:textId="35EFA601" w:rsidR="00B6461C" w:rsidRDefault="00B6461C" w:rsidP="00B27711">
      <w:r>
        <w:rPr>
          <w:rStyle w:val="ac"/>
        </w:rPr>
        <w:annotationRef/>
      </w:r>
      <w:r>
        <w:rPr>
          <w:color w:val="000000"/>
          <w:sz w:val="20"/>
          <w:szCs w:val="20"/>
        </w:rPr>
        <w:t>On the face of it the risk premium for private assets should be higher, because incorporates an illiquidity premium. In fact this has been a selling point for private funds</w:t>
      </w:r>
    </w:p>
  </w:comment>
  <w:comment w:id="15" w:author="רון כהן" w:date="2023-05-06T13:17:00Z" w:initials="רכ">
    <w:p w14:paraId="6C0CD6F6" w14:textId="77777777" w:rsidR="00E77099" w:rsidRDefault="00E77099" w:rsidP="00067A26">
      <w:r>
        <w:rPr>
          <w:rStyle w:val="ac"/>
        </w:rPr>
        <w:annotationRef/>
      </w:r>
      <w:r>
        <w:rPr>
          <w:sz w:val="20"/>
          <w:szCs w:val="20"/>
        </w:rPr>
        <w:t>This is true. Research has shown that in the short to medium terms REIT performance aligns better with the  securities markets than with the property markets (as for instance could be inferred by comparison to a benchmark such as the MSCI property indices)  That is one advantage of investing in private funds - they align better with the underlying property markets and therefore more truly provide diversification to the overall portfolio . See Baum - Real Estate Investment. I believe such considerations should be integrated into any paper we publish on this subject.</w:t>
      </w:r>
    </w:p>
  </w:comment>
  <w:comment w:id="20" w:author="רון כהן" w:date="2023-05-06T13:26:00Z" w:initials="רכ">
    <w:p w14:paraId="08CA34AB" w14:textId="77777777" w:rsidR="004D3E3A" w:rsidRDefault="004D3E3A" w:rsidP="00540FBB">
      <w:r>
        <w:rPr>
          <w:rStyle w:val="ac"/>
        </w:rPr>
        <w:annotationRef/>
      </w:r>
      <w:r>
        <w:rPr>
          <w:color w:val="000000"/>
          <w:sz w:val="20"/>
          <w:szCs w:val="20"/>
        </w:rPr>
        <w:t>Wouldn’t it be better to hold a roundtable BEFORE we publish a perspectives paper?</w:t>
      </w:r>
    </w:p>
  </w:comment>
  <w:comment w:id="22" w:author="רון כהן" w:date="2023-05-06T13:27:00Z" w:initials="רכ">
    <w:p w14:paraId="61BBC809" w14:textId="77777777" w:rsidR="004D3E3A" w:rsidRDefault="004D3E3A" w:rsidP="004D374F">
      <w:r>
        <w:rPr>
          <w:rStyle w:val="ac"/>
        </w:rPr>
        <w:annotationRef/>
      </w:r>
      <w:r>
        <w:rPr>
          <w:color w:val="000000"/>
          <w:sz w:val="20"/>
          <w:szCs w:val="20"/>
        </w:rPr>
        <w:t xml:space="preserve">Do PCA publish an index? </w:t>
      </w:r>
    </w:p>
  </w:comment>
  <w:comment w:id="24" w:author="רון כהן" w:date="2023-05-06T13:34:00Z" w:initials="רכ">
    <w:p w14:paraId="58C53FEC" w14:textId="77777777" w:rsidR="00262710" w:rsidRDefault="00262710" w:rsidP="008D3C08">
      <w:r>
        <w:rPr>
          <w:rStyle w:val="ac"/>
        </w:rPr>
        <w:annotationRef/>
      </w:r>
      <w:r>
        <w:rPr>
          <w:sz w:val="20"/>
          <w:szCs w:val="20"/>
        </w:rPr>
        <w:t>This could be translated to the difference between Market Value and Investment Valuer, or more accurately the difference between value -in -exchange vs value-in-use (aka  fundamental value). I think these nuances are lacking  from present day IVS and could also be used to inform the debate on ‘Prudential Value</w:t>
      </w:r>
      <w:r>
        <w:rPr>
          <w:sz w:val="20"/>
          <w:szCs w:val="20"/>
          <w:rtl/>
          <w:lang w:bidi="he-IL"/>
        </w:rPr>
        <w:t>׳</w:t>
      </w:r>
      <w:r>
        <w:rPr>
          <w:sz w:val="20"/>
          <w:szCs w:val="20"/>
        </w:rPr>
        <w:t>. Problems with Tegova/Basel/EU rules-based definitions for ‘Prudential Value</w:t>
      </w:r>
      <w:r>
        <w:rPr>
          <w:sz w:val="20"/>
          <w:szCs w:val="20"/>
        </w:rPr>
        <w:tab/>
        <w:t>‘, might be overcome by going back to basics and applying a principles based definition such as Prud Value = fundamental value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DF4D40" w15:done="0"/>
  <w15:commentEx w15:paraId="6C8E4A74" w15:done="0"/>
  <w15:commentEx w15:paraId="3F42B39E" w15:done="0"/>
  <w15:commentEx w15:paraId="4D5C6841" w15:done="0"/>
  <w15:commentEx w15:paraId="4CB255A7" w15:done="0"/>
  <w15:commentEx w15:paraId="5D1E913F" w15:done="0"/>
  <w15:commentEx w15:paraId="6C0CD6F6" w15:done="0"/>
  <w15:commentEx w15:paraId="08CA34AB" w15:done="0"/>
  <w15:commentEx w15:paraId="61BBC809" w15:done="0"/>
  <w15:commentEx w15:paraId="58C53F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0AEAE" w16cex:dateUtc="2023-05-06T07:47:00Z"/>
  <w16cex:commentExtensible w16cex:durableId="2800AF75" w16cex:dateUtc="2023-05-06T07:50:00Z"/>
  <w16cex:commentExtensible w16cex:durableId="2800B0C9" w16cex:dateUtc="2023-05-06T07:56:00Z"/>
  <w16cex:commentExtensible w16cex:durableId="2800B29E" w16cex:dateUtc="2023-05-06T08:03:00Z"/>
  <w16cex:commentExtensible w16cex:durableId="2800B3AA" w16cex:dateUtc="2023-05-06T08:08:00Z"/>
  <w16cex:commentExtensible w16cex:durableId="2800B34F" w16cex:dateUtc="2023-05-06T08:06:00Z"/>
  <w16cex:commentExtensible w16cex:durableId="2800D1DD" w16cex:dateUtc="2023-05-06T10:17:00Z"/>
  <w16cex:commentExtensible w16cex:durableId="2800D408" w16cex:dateUtc="2023-05-06T10:26:00Z"/>
  <w16cex:commentExtensible w16cex:durableId="2800D450" w16cex:dateUtc="2023-05-06T10:27:00Z"/>
  <w16cex:commentExtensible w16cex:durableId="2800D5ED" w16cex:dateUtc="2023-05-06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F4D40" w16cid:durableId="2800AEAE"/>
  <w16cid:commentId w16cid:paraId="6C8E4A74" w16cid:durableId="2800AF75"/>
  <w16cid:commentId w16cid:paraId="3F42B39E" w16cid:durableId="2800B0C9"/>
  <w16cid:commentId w16cid:paraId="4D5C6841" w16cid:durableId="2800B29E"/>
  <w16cid:commentId w16cid:paraId="4CB255A7" w16cid:durableId="2800B3AA"/>
  <w16cid:commentId w16cid:paraId="5D1E913F" w16cid:durableId="2800B34F"/>
  <w16cid:commentId w16cid:paraId="6C0CD6F6" w16cid:durableId="2800D1DD"/>
  <w16cid:commentId w16cid:paraId="08CA34AB" w16cid:durableId="2800D408"/>
  <w16cid:commentId w16cid:paraId="61BBC809" w16cid:durableId="2800D450"/>
  <w16cid:commentId w16cid:paraId="58C53FEC" w16cid:durableId="2800D5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AEA2" w14:textId="77777777" w:rsidR="006D7352" w:rsidRDefault="006D7352" w:rsidP="00F27E0A">
      <w:pPr>
        <w:spacing w:after="0" w:line="240" w:lineRule="auto"/>
      </w:pPr>
      <w:r>
        <w:separator/>
      </w:r>
    </w:p>
  </w:endnote>
  <w:endnote w:type="continuationSeparator" w:id="0">
    <w:p w14:paraId="39E9BF6A" w14:textId="77777777" w:rsidR="006D7352" w:rsidRDefault="006D7352" w:rsidP="00F2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notTrueType/>
    <w:pitch w:val="default"/>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378951"/>
      <w:docPartObj>
        <w:docPartGallery w:val="Page Numbers (Bottom of Page)"/>
        <w:docPartUnique/>
      </w:docPartObj>
    </w:sdtPr>
    <w:sdtEndPr>
      <w:rPr>
        <w:noProof/>
      </w:rPr>
    </w:sdtEndPr>
    <w:sdtContent>
      <w:p w14:paraId="4042D579" w14:textId="34EE94AB" w:rsidR="008761D7" w:rsidRDefault="008761D7">
        <w:pPr>
          <w:pStyle w:val="a6"/>
          <w:jc w:val="center"/>
        </w:pPr>
        <w:r>
          <w:fldChar w:fldCharType="begin"/>
        </w:r>
        <w:r>
          <w:instrText xml:space="preserve"> PAGE   \* MERGEFORMAT </w:instrText>
        </w:r>
        <w:r>
          <w:fldChar w:fldCharType="separate"/>
        </w:r>
        <w:r>
          <w:rPr>
            <w:noProof/>
          </w:rPr>
          <w:t>2</w:t>
        </w:r>
        <w:r>
          <w:rPr>
            <w:noProof/>
          </w:rPr>
          <w:fldChar w:fldCharType="end"/>
        </w:r>
      </w:p>
    </w:sdtContent>
  </w:sdt>
  <w:p w14:paraId="1EBFF560" w14:textId="5A7B340B" w:rsidR="00FA45E0" w:rsidRDefault="00FA45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82CD" w14:textId="77777777" w:rsidR="006D7352" w:rsidRDefault="006D7352" w:rsidP="00F27E0A">
      <w:pPr>
        <w:spacing w:after="0" w:line="240" w:lineRule="auto"/>
      </w:pPr>
      <w:r>
        <w:separator/>
      </w:r>
    </w:p>
  </w:footnote>
  <w:footnote w:type="continuationSeparator" w:id="0">
    <w:p w14:paraId="7A473AB2" w14:textId="77777777" w:rsidR="006D7352" w:rsidRDefault="006D7352" w:rsidP="00F27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59AA"/>
    <w:multiLevelType w:val="hybridMultilevel"/>
    <w:tmpl w:val="3CAC19A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9D2F7D"/>
    <w:multiLevelType w:val="hybridMultilevel"/>
    <w:tmpl w:val="B4B06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920B24"/>
    <w:multiLevelType w:val="hybridMultilevel"/>
    <w:tmpl w:val="FB241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9E36D0"/>
    <w:multiLevelType w:val="hybridMultilevel"/>
    <w:tmpl w:val="7EF2773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789324D"/>
    <w:multiLevelType w:val="hybridMultilevel"/>
    <w:tmpl w:val="8710F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1E44FD"/>
    <w:multiLevelType w:val="hybridMultilevel"/>
    <w:tmpl w:val="9D30B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E23290"/>
    <w:multiLevelType w:val="hybridMultilevel"/>
    <w:tmpl w:val="D8AA6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28194E"/>
    <w:multiLevelType w:val="hybridMultilevel"/>
    <w:tmpl w:val="F612C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3D037D"/>
    <w:multiLevelType w:val="hybridMultilevel"/>
    <w:tmpl w:val="26968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E27144"/>
    <w:multiLevelType w:val="hybridMultilevel"/>
    <w:tmpl w:val="9F760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690FEF"/>
    <w:multiLevelType w:val="hybridMultilevel"/>
    <w:tmpl w:val="F0465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3886346">
    <w:abstractNumId w:val="5"/>
  </w:num>
  <w:num w:numId="2" w16cid:durableId="2004316121">
    <w:abstractNumId w:val="2"/>
  </w:num>
  <w:num w:numId="3" w16cid:durableId="812915824">
    <w:abstractNumId w:val="4"/>
  </w:num>
  <w:num w:numId="4" w16cid:durableId="1084104124">
    <w:abstractNumId w:val="8"/>
  </w:num>
  <w:num w:numId="5" w16cid:durableId="623005101">
    <w:abstractNumId w:val="1"/>
  </w:num>
  <w:num w:numId="6" w16cid:durableId="1974675413">
    <w:abstractNumId w:val="6"/>
  </w:num>
  <w:num w:numId="7" w16cid:durableId="467406843">
    <w:abstractNumId w:val="7"/>
  </w:num>
  <w:num w:numId="8" w16cid:durableId="1635713910">
    <w:abstractNumId w:val="10"/>
  </w:num>
  <w:num w:numId="9" w16cid:durableId="1933315468">
    <w:abstractNumId w:val="9"/>
  </w:num>
  <w:num w:numId="10" w16cid:durableId="368145279">
    <w:abstractNumId w:val="3"/>
  </w:num>
  <w:num w:numId="11" w16cid:durableId="5472581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רון כהן">
    <w15:presenceInfo w15:providerId="AD" w15:userId="S::ronc@justice.gov.il::efd47654-6c82-4487-b35c-57a8561be7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0F"/>
    <w:rsid w:val="000027F4"/>
    <w:rsid w:val="000172D2"/>
    <w:rsid w:val="00020C39"/>
    <w:rsid w:val="00042FC6"/>
    <w:rsid w:val="000601DB"/>
    <w:rsid w:val="000633B4"/>
    <w:rsid w:val="000A2061"/>
    <w:rsid w:val="000A34AB"/>
    <w:rsid w:val="000A7638"/>
    <w:rsid w:val="000B5932"/>
    <w:rsid w:val="000B79CD"/>
    <w:rsid w:val="000C0928"/>
    <w:rsid w:val="000C1AE5"/>
    <w:rsid w:val="000E3E14"/>
    <w:rsid w:val="000F7046"/>
    <w:rsid w:val="0010036D"/>
    <w:rsid w:val="00101BE5"/>
    <w:rsid w:val="001364F4"/>
    <w:rsid w:val="001412F5"/>
    <w:rsid w:val="00155370"/>
    <w:rsid w:val="00161F70"/>
    <w:rsid w:val="00182866"/>
    <w:rsid w:val="00182A9E"/>
    <w:rsid w:val="00197716"/>
    <w:rsid w:val="001C6164"/>
    <w:rsid w:val="001D5FE9"/>
    <w:rsid w:val="001D605F"/>
    <w:rsid w:val="001E0876"/>
    <w:rsid w:val="001E2062"/>
    <w:rsid w:val="002019CD"/>
    <w:rsid w:val="00201ECE"/>
    <w:rsid w:val="00202FD6"/>
    <w:rsid w:val="00205149"/>
    <w:rsid w:val="002178A1"/>
    <w:rsid w:val="0022099D"/>
    <w:rsid w:val="002219C9"/>
    <w:rsid w:val="00222829"/>
    <w:rsid w:val="0024325D"/>
    <w:rsid w:val="00245187"/>
    <w:rsid w:val="00251C8A"/>
    <w:rsid w:val="00251DFB"/>
    <w:rsid w:val="002621D4"/>
    <w:rsid w:val="00262710"/>
    <w:rsid w:val="0026757D"/>
    <w:rsid w:val="00287DA9"/>
    <w:rsid w:val="00290D97"/>
    <w:rsid w:val="002A727D"/>
    <w:rsid w:val="002B0821"/>
    <w:rsid w:val="002B1FA1"/>
    <w:rsid w:val="002B2178"/>
    <w:rsid w:val="002B5A0F"/>
    <w:rsid w:val="002E3AD0"/>
    <w:rsid w:val="002E3B9F"/>
    <w:rsid w:val="002E443F"/>
    <w:rsid w:val="002F1C3C"/>
    <w:rsid w:val="002F3B4E"/>
    <w:rsid w:val="0031459B"/>
    <w:rsid w:val="003222D2"/>
    <w:rsid w:val="00325110"/>
    <w:rsid w:val="00345CF3"/>
    <w:rsid w:val="00366329"/>
    <w:rsid w:val="0037259C"/>
    <w:rsid w:val="0038373A"/>
    <w:rsid w:val="00393837"/>
    <w:rsid w:val="003B7BDF"/>
    <w:rsid w:val="003C2DA2"/>
    <w:rsid w:val="003C7490"/>
    <w:rsid w:val="003D3CC8"/>
    <w:rsid w:val="003F16F4"/>
    <w:rsid w:val="004031DD"/>
    <w:rsid w:val="00412D11"/>
    <w:rsid w:val="00413738"/>
    <w:rsid w:val="00423F34"/>
    <w:rsid w:val="00432EB6"/>
    <w:rsid w:val="00441418"/>
    <w:rsid w:val="00456CCB"/>
    <w:rsid w:val="00457501"/>
    <w:rsid w:val="00462C92"/>
    <w:rsid w:val="0046301A"/>
    <w:rsid w:val="00487E33"/>
    <w:rsid w:val="004953D6"/>
    <w:rsid w:val="004C192E"/>
    <w:rsid w:val="004C6D48"/>
    <w:rsid w:val="004D162F"/>
    <w:rsid w:val="004D3E3A"/>
    <w:rsid w:val="004F3C32"/>
    <w:rsid w:val="004F6880"/>
    <w:rsid w:val="00502E24"/>
    <w:rsid w:val="00512536"/>
    <w:rsid w:val="00513BC6"/>
    <w:rsid w:val="00530E39"/>
    <w:rsid w:val="00533253"/>
    <w:rsid w:val="00534904"/>
    <w:rsid w:val="00545A51"/>
    <w:rsid w:val="005547A7"/>
    <w:rsid w:val="00563386"/>
    <w:rsid w:val="00572306"/>
    <w:rsid w:val="00585F00"/>
    <w:rsid w:val="005B0E55"/>
    <w:rsid w:val="005B23FE"/>
    <w:rsid w:val="005B4866"/>
    <w:rsid w:val="005B52AD"/>
    <w:rsid w:val="005C7920"/>
    <w:rsid w:val="005D246C"/>
    <w:rsid w:val="005D5D28"/>
    <w:rsid w:val="005D63DF"/>
    <w:rsid w:val="005D7A15"/>
    <w:rsid w:val="005E6B99"/>
    <w:rsid w:val="00606413"/>
    <w:rsid w:val="00612CE8"/>
    <w:rsid w:val="00614A6A"/>
    <w:rsid w:val="0063311A"/>
    <w:rsid w:val="006404CB"/>
    <w:rsid w:val="00653325"/>
    <w:rsid w:val="00655518"/>
    <w:rsid w:val="006577F5"/>
    <w:rsid w:val="00674353"/>
    <w:rsid w:val="00677E10"/>
    <w:rsid w:val="00680A6F"/>
    <w:rsid w:val="00690EBF"/>
    <w:rsid w:val="006A1BBB"/>
    <w:rsid w:val="006A1E8D"/>
    <w:rsid w:val="006B0D7E"/>
    <w:rsid w:val="006D7352"/>
    <w:rsid w:val="00707C62"/>
    <w:rsid w:val="00741A0D"/>
    <w:rsid w:val="00744AE0"/>
    <w:rsid w:val="007512A4"/>
    <w:rsid w:val="00767EAD"/>
    <w:rsid w:val="00782443"/>
    <w:rsid w:val="00790E51"/>
    <w:rsid w:val="007963CF"/>
    <w:rsid w:val="007B4665"/>
    <w:rsid w:val="007B5A10"/>
    <w:rsid w:val="007C645B"/>
    <w:rsid w:val="007C7A4E"/>
    <w:rsid w:val="007E59F7"/>
    <w:rsid w:val="00801DA4"/>
    <w:rsid w:val="00817E14"/>
    <w:rsid w:val="008359BC"/>
    <w:rsid w:val="00842C7F"/>
    <w:rsid w:val="008446AF"/>
    <w:rsid w:val="008453AA"/>
    <w:rsid w:val="0084699A"/>
    <w:rsid w:val="00863914"/>
    <w:rsid w:val="008667B8"/>
    <w:rsid w:val="00871B16"/>
    <w:rsid w:val="008761D7"/>
    <w:rsid w:val="00876EEF"/>
    <w:rsid w:val="00881B2D"/>
    <w:rsid w:val="0088416D"/>
    <w:rsid w:val="00884595"/>
    <w:rsid w:val="00886034"/>
    <w:rsid w:val="008A171A"/>
    <w:rsid w:val="008B5FBF"/>
    <w:rsid w:val="008D0925"/>
    <w:rsid w:val="008D604E"/>
    <w:rsid w:val="008F611E"/>
    <w:rsid w:val="00915C47"/>
    <w:rsid w:val="0091749C"/>
    <w:rsid w:val="00925912"/>
    <w:rsid w:val="009314B6"/>
    <w:rsid w:val="00931B04"/>
    <w:rsid w:val="00934222"/>
    <w:rsid w:val="00937AAE"/>
    <w:rsid w:val="00940E47"/>
    <w:rsid w:val="009619E6"/>
    <w:rsid w:val="00963F86"/>
    <w:rsid w:val="00973042"/>
    <w:rsid w:val="00980C0C"/>
    <w:rsid w:val="00986C46"/>
    <w:rsid w:val="009934CE"/>
    <w:rsid w:val="0099366E"/>
    <w:rsid w:val="0099448B"/>
    <w:rsid w:val="009C0A27"/>
    <w:rsid w:val="009D014C"/>
    <w:rsid w:val="009D5D96"/>
    <w:rsid w:val="00A02446"/>
    <w:rsid w:val="00A05401"/>
    <w:rsid w:val="00A20B74"/>
    <w:rsid w:val="00A2571D"/>
    <w:rsid w:val="00A47AE4"/>
    <w:rsid w:val="00A51712"/>
    <w:rsid w:val="00A6365A"/>
    <w:rsid w:val="00A6374C"/>
    <w:rsid w:val="00A64EE8"/>
    <w:rsid w:val="00A74CC2"/>
    <w:rsid w:val="00A82356"/>
    <w:rsid w:val="00A916A6"/>
    <w:rsid w:val="00A95A4F"/>
    <w:rsid w:val="00AC4DE1"/>
    <w:rsid w:val="00AD231C"/>
    <w:rsid w:val="00AF15CB"/>
    <w:rsid w:val="00AF1C3B"/>
    <w:rsid w:val="00AF3252"/>
    <w:rsid w:val="00AF4755"/>
    <w:rsid w:val="00AF7824"/>
    <w:rsid w:val="00B07DAE"/>
    <w:rsid w:val="00B20FD6"/>
    <w:rsid w:val="00B42DCD"/>
    <w:rsid w:val="00B45D98"/>
    <w:rsid w:val="00B55E33"/>
    <w:rsid w:val="00B60D5E"/>
    <w:rsid w:val="00B62539"/>
    <w:rsid w:val="00B6461C"/>
    <w:rsid w:val="00B67040"/>
    <w:rsid w:val="00B90DF4"/>
    <w:rsid w:val="00BA56AF"/>
    <w:rsid w:val="00BB4461"/>
    <w:rsid w:val="00BC1DA7"/>
    <w:rsid w:val="00BC5616"/>
    <w:rsid w:val="00BE03BD"/>
    <w:rsid w:val="00BE7270"/>
    <w:rsid w:val="00C0572D"/>
    <w:rsid w:val="00C344E3"/>
    <w:rsid w:val="00C50CB2"/>
    <w:rsid w:val="00C615F0"/>
    <w:rsid w:val="00C66322"/>
    <w:rsid w:val="00C8757C"/>
    <w:rsid w:val="00CA2442"/>
    <w:rsid w:val="00CA7688"/>
    <w:rsid w:val="00CB0FAB"/>
    <w:rsid w:val="00CB5475"/>
    <w:rsid w:val="00CC0E93"/>
    <w:rsid w:val="00CC5CFB"/>
    <w:rsid w:val="00CF4C98"/>
    <w:rsid w:val="00CF4EB7"/>
    <w:rsid w:val="00D22219"/>
    <w:rsid w:val="00D22B72"/>
    <w:rsid w:val="00D24AB6"/>
    <w:rsid w:val="00D25BFA"/>
    <w:rsid w:val="00D32D23"/>
    <w:rsid w:val="00D34CDE"/>
    <w:rsid w:val="00D34F3A"/>
    <w:rsid w:val="00D47CF4"/>
    <w:rsid w:val="00D63926"/>
    <w:rsid w:val="00D64AC8"/>
    <w:rsid w:val="00D73CB8"/>
    <w:rsid w:val="00D83056"/>
    <w:rsid w:val="00D86D63"/>
    <w:rsid w:val="00D87E12"/>
    <w:rsid w:val="00DA32D0"/>
    <w:rsid w:val="00DA5465"/>
    <w:rsid w:val="00DA746B"/>
    <w:rsid w:val="00DB0B0B"/>
    <w:rsid w:val="00DB3AE6"/>
    <w:rsid w:val="00DB67B9"/>
    <w:rsid w:val="00DD0EFB"/>
    <w:rsid w:val="00DD59DD"/>
    <w:rsid w:val="00DE137F"/>
    <w:rsid w:val="00E010DA"/>
    <w:rsid w:val="00E271FF"/>
    <w:rsid w:val="00E27200"/>
    <w:rsid w:val="00E27C88"/>
    <w:rsid w:val="00E30A35"/>
    <w:rsid w:val="00E3128D"/>
    <w:rsid w:val="00E370A9"/>
    <w:rsid w:val="00E674A6"/>
    <w:rsid w:val="00E77099"/>
    <w:rsid w:val="00E921BB"/>
    <w:rsid w:val="00E9513B"/>
    <w:rsid w:val="00EA6974"/>
    <w:rsid w:val="00EC52CA"/>
    <w:rsid w:val="00EC6E26"/>
    <w:rsid w:val="00ED1C48"/>
    <w:rsid w:val="00EE73F5"/>
    <w:rsid w:val="00EF700A"/>
    <w:rsid w:val="00F048E5"/>
    <w:rsid w:val="00F12E5B"/>
    <w:rsid w:val="00F2240E"/>
    <w:rsid w:val="00F25380"/>
    <w:rsid w:val="00F27E0A"/>
    <w:rsid w:val="00F45FA3"/>
    <w:rsid w:val="00F56B97"/>
    <w:rsid w:val="00F6711A"/>
    <w:rsid w:val="00F75DDE"/>
    <w:rsid w:val="00F81A3A"/>
    <w:rsid w:val="00F86619"/>
    <w:rsid w:val="00F91CAB"/>
    <w:rsid w:val="00F92E61"/>
    <w:rsid w:val="00F95229"/>
    <w:rsid w:val="00F9791C"/>
    <w:rsid w:val="00F97B67"/>
    <w:rsid w:val="00FA45E0"/>
    <w:rsid w:val="00FC0C53"/>
    <w:rsid w:val="00FC3B4F"/>
    <w:rsid w:val="00FC4A52"/>
    <w:rsid w:val="00FE68C6"/>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2EAA7"/>
  <w15:chartTrackingRefBased/>
  <w15:docId w15:val="{DDA8DC5A-3BD1-488E-8866-BA7C4CFE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675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A0F"/>
    <w:pPr>
      <w:ind w:left="720"/>
      <w:contextualSpacing/>
    </w:pPr>
  </w:style>
  <w:style w:type="paragraph" w:styleId="a4">
    <w:name w:val="header"/>
    <w:basedOn w:val="a"/>
    <w:link w:val="a5"/>
    <w:uiPriority w:val="99"/>
    <w:unhideWhenUsed/>
    <w:rsid w:val="00FA45E0"/>
    <w:pPr>
      <w:tabs>
        <w:tab w:val="center" w:pos="4513"/>
        <w:tab w:val="right" w:pos="9026"/>
      </w:tabs>
      <w:spacing w:after="0" w:line="240" w:lineRule="auto"/>
    </w:pPr>
  </w:style>
  <w:style w:type="character" w:customStyle="1" w:styleId="a5">
    <w:name w:val="כותרת עליונה תו"/>
    <w:basedOn w:val="a0"/>
    <w:link w:val="a4"/>
    <w:uiPriority w:val="99"/>
    <w:rsid w:val="00FA45E0"/>
  </w:style>
  <w:style w:type="paragraph" w:styleId="a6">
    <w:name w:val="footer"/>
    <w:basedOn w:val="a"/>
    <w:link w:val="a7"/>
    <w:uiPriority w:val="99"/>
    <w:unhideWhenUsed/>
    <w:rsid w:val="00FA45E0"/>
    <w:pPr>
      <w:tabs>
        <w:tab w:val="center" w:pos="4513"/>
        <w:tab w:val="right" w:pos="9026"/>
      </w:tabs>
      <w:spacing w:after="0" w:line="240" w:lineRule="auto"/>
    </w:pPr>
  </w:style>
  <w:style w:type="character" w:customStyle="1" w:styleId="a7">
    <w:name w:val="כותרת תחתונה תו"/>
    <w:basedOn w:val="a0"/>
    <w:link w:val="a6"/>
    <w:uiPriority w:val="99"/>
    <w:rsid w:val="00FA45E0"/>
  </w:style>
  <w:style w:type="table" w:styleId="a8">
    <w:name w:val="Table Grid"/>
    <w:basedOn w:val="a1"/>
    <w:uiPriority w:val="39"/>
    <w:rsid w:val="00863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Grid Table 4"/>
    <w:basedOn w:val="a1"/>
    <w:uiPriority w:val="49"/>
    <w:rsid w:val="006B0D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0">
    <w:name w:val="כותרת 1 תו"/>
    <w:basedOn w:val="a0"/>
    <w:link w:val="1"/>
    <w:uiPriority w:val="9"/>
    <w:rsid w:val="0026757D"/>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26757D"/>
    <w:pPr>
      <w:outlineLvl w:val="9"/>
    </w:pPr>
    <w:rPr>
      <w:lang w:val="en-US"/>
    </w:rPr>
  </w:style>
  <w:style w:type="paragraph" w:styleId="TOC1">
    <w:name w:val="toc 1"/>
    <w:basedOn w:val="a"/>
    <w:next w:val="a"/>
    <w:autoRedefine/>
    <w:uiPriority w:val="39"/>
    <w:unhideWhenUsed/>
    <w:rsid w:val="0026757D"/>
    <w:pPr>
      <w:spacing w:after="100"/>
    </w:pPr>
  </w:style>
  <w:style w:type="character" w:styleId="Hyperlink">
    <w:name w:val="Hyperlink"/>
    <w:basedOn w:val="a0"/>
    <w:uiPriority w:val="99"/>
    <w:unhideWhenUsed/>
    <w:rsid w:val="0026757D"/>
    <w:rPr>
      <w:color w:val="0563C1" w:themeColor="hyperlink"/>
      <w:u w:val="single"/>
    </w:rPr>
  </w:style>
  <w:style w:type="paragraph" w:styleId="aa">
    <w:name w:val="Revision"/>
    <w:hidden/>
    <w:uiPriority w:val="99"/>
    <w:semiHidden/>
    <w:rsid w:val="00790E51"/>
    <w:pPr>
      <w:spacing w:after="0" w:line="240" w:lineRule="auto"/>
    </w:pPr>
  </w:style>
  <w:style w:type="character" w:styleId="ab">
    <w:name w:val="Unresolved Mention"/>
    <w:basedOn w:val="a0"/>
    <w:uiPriority w:val="99"/>
    <w:semiHidden/>
    <w:unhideWhenUsed/>
    <w:rsid w:val="00680A6F"/>
    <w:rPr>
      <w:color w:val="605E5C"/>
      <w:shd w:val="clear" w:color="auto" w:fill="E1DFDD"/>
    </w:rPr>
  </w:style>
  <w:style w:type="character" w:styleId="ac">
    <w:name w:val="annotation reference"/>
    <w:basedOn w:val="a0"/>
    <w:uiPriority w:val="99"/>
    <w:semiHidden/>
    <w:unhideWhenUsed/>
    <w:rsid w:val="00A64EE8"/>
    <w:rPr>
      <w:sz w:val="16"/>
      <w:szCs w:val="16"/>
    </w:rPr>
  </w:style>
  <w:style w:type="paragraph" w:styleId="ad">
    <w:name w:val="annotation text"/>
    <w:basedOn w:val="a"/>
    <w:link w:val="ae"/>
    <w:uiPriority w:val="99"/>
    <w:semiHidden/>
    <w:unhideWhenUsed/>
    <w:rsid w:val="00A64EE8"/>
    <w:pPr>
      <w:spacing w:line="240" w:lineRule="auto"/>
    </w:pPr>
    <w:rPr>
      <w:sz w:val="20"/>
      <w:szCs w:val="20"/>
    </w:rPr>
  </w:style>
  <w:style w:type="character" w:customStyle="1" w:styleId="ae">
    <w:name w:val="טקסט הערה תו"/>
    <w:basedOn w:val="a0"/>
    <w:link w:val="ad"/>
    <w:uiPriority w:val="99"/>
    <w:semiHidden/>
    <w:rsid w:val="00A64EE8"/>
    <w:rPr>
      <w:sz w:val="20"/>
      <w:szCs w:val="20"/>
    </w:rPr>
  </w:style>
  <w:style w:type="paragraph" w:styleId="af">
    <w:name w:val="annotation subject"/>
    <w:basedOn w:val="ad"/>
    <w:next w:val="ad"/>
    <w:link w:val="af0"/>
    <w:uiPriority w:val="99"/>
    <w:semiHidden/>
    <w:unhideWhenUsed/>
    <w:rsid w:val="00A64EE8"/>
    <w:rPr>
      <w:b/>
      <w:bCs/>
    </w:rPr>
  </w:style>
  <w:style w:type="character" w:customStyle="1" w:styleId="af0">
    <w:name w:val="נושא הערה תו"/>
    <w:basedOn w:val="ae"/>
    <w:link w:val="af"/>
    <w:uiPriority w:val="99"/>
    <w:semiHidden/>
    <w:rsid w:val="00A64E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ic.gov.au/about-asic/news-centre/find-a-media-release/2023-releases/23-066mr-adslot-writes-down-goodwill-following-asic-review/"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2302E-16A9-47AD-A2D5-18855926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6471</Words>
  <Characters>32356</Characters>
  <Application>Microsoft Office Word</Application>
  <DocSecurity>0</DocSecurity>
  <Lines>269</Lines>
  <Paragraphs>77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 Hildebrandt (DEECA)</dc:creator>
  <cp:keywords/>
  <dc:description/>
  <cp:lastModifiedBy>רון כהן</cp:lastModifiedBy>
  <cp:revision>3</cp:revision>
  <dcterms:created xsi:type="dcterms:W3CDTF">2023-05-05T06:51:00Z</dcterms:created>
  <dcterms:modified xsi:type="dcterms:W3CDTF">2023-05-06T10:36:00Z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2b7feb-b287-442c-a072-f385b02ec972_Enabled">
    <vt:lpwstr>true</vt:lpwstr>
  </property>
  <property fmtid="{D5CDD505-2E9C-101B-9397-08002B2CF9AE}" pid="3" name="MSIP_Label_b92b7feb-b287-442c-a072-f385b02ec972_SetDate">
    <vt:lpwstr>2023-04-13T02:53:52Z</vt:lpwstr>
  </property>
  <property fmtid="{D5CDD505-2E9C-101B-9397-08002B2CF9AE}" pid="4" name="MSIP_Label_b92b7feb-b287-442c-a072-f385b02ec972_Method">
    <vt:lpwstr>Privileged</vt:lpwstr>
  </property>
  <property fmtid="{D5CDD505-2E9C-101B-9397-08002B2CF9AE}" pid="5" name="MSIP_Label_b92b7feb-b287-442c-a072-f385b02ec972_Name">
    <vt:lpwstr>Unofficial</vt:lpwstr>
  </property>
  <property fmtid="{D5CDD505-2E9C-101B-9397-08002B2CF9AE}" pid="6" name="MSIP_Label_b92b7feb-b287-442c-a072-f385b02ec972_SiteId">
    <vt:lpwstr>e8bdd6f7-fc18-4e48-a554-7f547927223b</vt:lpwstr>
  </property>
  <property fmtid="{D5CDD505-2E9C-101B-9397-08002B2CF9AE}" pid="7" name="MSIP_Label_b92b7feb-b287-442c-a072-f385b02ec972_ActionId">
    <vt:lpwstr>297908f6-22ef-4929-bcc2-a81bcfa87e15</vt:lpwstr>
  </property>
  <property fmtid="{D5CDD505-2E9C-101B-9397-08002B2CF9AE}" pid="8" name="MSIP_Label_b92b7feb-b287-442c-a072-f385b02ec972_ContentBits">
    <vt:lpwstr>2</vt:lpwstr>
  </property>
</Properties>
</file>